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D6" w:rsidRDefault="00257DD6">
      <w:pPr>
        <w:spacing w:after="0" w:line="259" w:lineRule="auto"/>
        <w:ind w:left="0" w:right="33" w:firstLine="0"/>
      </w:pPr>
      <w:r>
        <w:rPr>
          <w:noProof/>
        </w:rPr>
        <w:drawing>
          <wp:anchor distT="0" distB="0" distL="114300" distR="114300" simplePos="0" relativeHeight="251660288" behindDoc="0" locked="0" layoutInCell="1" allowOverlap="1">
            <wp:simplePos x="0" y="0"/>
            <wp:positionH relativeFrom="column">
              <wp:posOffset>5071110</wp:posOffset>
            </wp:positionH>
            <wp:positionV relativeFrom="page">
              <wp:posOffset>371475</wp:posOffset>
            </wp:positionV>
            <wp:extent cx="1282700" cy="1282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EL LOGO 200pix.png"/>
                    <pic:cNvPicPr/>
                  </pic:nvPicPr>
                  <pic:blipFill>
                    <a:blip r:embed="rId6">
                      <a:extLst>
                        <a:ext uri="{28A0092B-C50C-407E-A947-70E740481C1C}">
                          <a14:useLocalDpi xmlns:a14="http://schemas.microsoft.com/office/drawing/2010/main" val="0"/>
                        </a:ext>
                      </a:extLst>
                    </a:blip>
                    <a:stretch>
                      <a:fillRect/>
                    </a:stretch>
                  </pic:blipFill>
                  <pic:spPr>
                    <a:xfrm>
                      <a:off x="0" y="0"/>
                      <a:ext cx="1282700" cy="1282700"/>
                    </a:xfrm>
                    <a:prstGeom prst="rect">
                      <a:avLst/>
                    </a:prstGeom>
                  </pic:spPr>
                </pic:pic>
              </a:graphicData>
            </a:graphic>
          </wp:anchor>
        </w:drawing>
      </w:r>
      <w:r>
        <w:rPr>
          <w:color w:val="57575B"/>
          <w:sz w:val="48"/>
        </w:rPr>
        <w:t>Institute for Health and Human Development</w:t>
      </w:r>
    </w:p>
    <w:p w:rsidR="00257DD6" w:rsidRDefault="00257DD6" w:rsidP="002C05BA">
      <w:pPr>
        <w:spacing w:after="868" w:line="259" w:lineRule="auto"/>
        <w:ind w:left="0" w:right="33" w:firstLine="0"/>
        <w:rPr>
          <w:color w:val="6D6E70"/>
        </w:rPr>
      </w:pPr>
      <w:r>
        <w:rPr>
          <w:color w:val="6D6E70"/>
        </w:rPr>
        <w:t>Research Impact | November 2013 | Mala Rao</w:t>
      </w:r>
    </w:p>
    <w:p w:rsidR="00257DD6" w:rsidRPr="002C05BA" w:rsidRDefault="00AA5F9D" w:rsidP="002C05BA">
      <w:pPr>
        <w:spacing w:after="120" w:line="259" w:lineRule="auto"/>
        <w:ind w:left="0" w:right="34" w:firstLine="0"/>
        <w:rPr>
          <w:color w:val="4DB6DE"/>
          <w:sz w:val="48"/>
        </w:rPr>
      </w:pPr>
      <w:r>
        <w:rPr>
          <w:color w:val="4DB6DE"/>
          <w:sz w:val="48"/>
        </w:rPr>
        <w:t>Strengthening primary health systems</w:t>
      </w:r>
      <w:r w:rsidR="00257DD6" w:rsidRPr="002C05BA">
        <w:rPr>
          <w:color w:val="4DB6DE"/>
          <w:sz w:val="48"/>
        </w:rPr>
        <w:t xml:space="preserve"> in India</w:t>
      </w:r>
    </w:p>
    <w:p w:rsidR="00257DD6" w:rsidRDefault="00257DD6">
      <w:pPr>
        <w:spacing w:after="0" w:line="259" w:lineRule="auto"/>
        <w:ind w:left="0" w:right="0" w:firstLine="0"/>
      </w:pPr>
      <w:r w:rsidRPr="005A1E4C">
        <w:rPr>
          <w:rFonts w:asciiTheme="minorHAnsi" w:eastAsia="Times New Roman" w:hAnsiTheme="minorHAnsi" w:cs="Times New Roman"/>
          <w:noProof/>
          <w:sz w:val="24"/>
          <w:szCs w:val="24"/>
        </w:rPr>
        <w:drawing>
          <wp:inline distT="0" distB="0" distL="0" distR="0" wp14:anchorId="1F754BF0" wp14:editId="71EF0409">
            <wp:extent cx="6129020" cy="2192101"/>
            <wp:effectExtent l="0" t="0" r="5080" b="0"/>
            <wp:docPr id="2" name="Picture 2" descr="Rao - Outpatients in Kerala,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o - Outpatients in Kerala, In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9020" cy="2192101"/>
                    </a:xfrm>
                    <a:prstGeom prst="rect">
                      <a:avLst/>
                    </a:prstGeom>
                    <a:noFill/>
                    <a:ln>
                      <a:noFill/>
                    </a:ln>
                  </pic:spPr>
                </pic:pic>
              </a:graphicData>
            </a:graphic>
          </wp:inline>
        </w:drawing>
      </w:r>
    </w:p>
    <w:p w:rsidR="00257DD6" w:rsidRPr="005A1E4C" w:rsidRDefault="00257DD6" w:rsidP="002C05BA">
      <w:pPr>
        <w:spacing w:before="100" w:beforeAutospacing="1" w:after="100" w:afterAutospacing="1" w:line="240" w:lineRule="auto"/>
        <w:rPr>
          <w:rFonts w:eastAsia="Times New Roman" w:cs="Times New Roman"/>
          <w:sz w:val="24"/>
          <w:szCs w:val="24"/>
        </w:rPr>
      </w:pPr>
      <w:r w:rsidRPr="00244BD3">
        <w:rPr>
          <w:rFonts w:eastAsia="Times New Roman" w:cs="Times New Roman"/>
          <w:i/>
          <w:iCs/>
          <w:sz w:val="24"/>
          <w:szCs w:val="24"/>
        </w:rPr>
        <w:t>Image: Outpatients in Kerala, India</w:t>
      </w:r>
    </w:p>
    <w:p w:rsidR="00257DD6" w:rsidRPr="00244BD3" w:rsidRDefault="00257DD6">
      <w:pPr>
        <w:sectPr w:rsidR="00257DD6" w:rsidRPr="00244BD3" w:rsidSect="00201992">
          <w:footerReference w:type="even" r:id="rId8"/>
          <w:footerReference w:type="default" r:id="rId9"/>
          <w:footerReference w:type="first" r:id="rId10"/>
          <w:pgSz w:w="11906" w:h="16838"/>
          <w:pgMar w:top="1440" w:right="1440" w:bottom="1440" w:left="1440" w:header="708" w:footer="708" w:gutter="0"/>
          <w:cols w:space="708"/>
          <w:docGrid w:linePitch="360"/>
        </w:sectPr>
      </w:pPr>
    </w:p>
    <w:p w:rsidR="00257DD6" w:rsidRPr="00244BD3" w:rsidRDefault="00257DD6" w:rsidP="00244BD3">
      <w:pPr>
        <w:spacing w:before="100" w:beforeAutospacing="1" w:after="100" w:afterAutospacing="1" w:line="240" w:lineRule="auto"/>
        <w:jc w:val="both"/>
        <w:rPr>
          <w:rStyle w:val="Strong"/>
          <w:sz w:val="24"/>
          <w:szCs w:val="24"/>
        </w:rPr>
      </w:pPr>
      <w:r w:rsidRPr="00244BD3">
        <w:rPr>
          <w:rStyle w:val="Strong"/>
          <w:sz w:val="24"/>
          <w:szCs w:val="24"/>
        </w:rPr>
        <w:lastRenderedPageBreak/>
        <w:t xml:space="preserve">Research conducted at the University </w:t>
      </w:r>
      <w:proofErr w:type="gramStart"/>
      <w:r w:rsidRPr="00244BD3">
        <w:rPr>
          <w:rStyle w:val="Strong"/>
          <w:sz w:val="24"/>
          <w:szCs w:val="24"/>
        </w:rPr>
        <w:t>of</w:t>
      </w:r>
      <w:proofErr w:type="gramEnd"/>
      <w:r w:rsidRPr="00244BD3">
        <w:rPr>
          <w:rStyle w:val="Strong"/>
          <w:sz w:val="24"/>
          <w:szCs w:val="24"/>
        </w:rPr>
        <w:t xml:space="preserve"> East London (UEL) is helping to tackle health inequality in some of India’s largest states by changing the way in which health care is financed and implemented.</w:t>
      </w:r>
    </w:p>
    <w:p w:rsidR="002F18A6" w:rsidRDefault="002F18A6" w:rsidP="002C05BA">
      <w:pPr>
        <w:spacing w:before="100" w:beforeAutospacing="1" w:after="100" w:afterAutospacing="1" w:line="240" w:lineRule="auto"/>
        <w:rPr>
          <w:rFonts w:eastAsia="Times New Roman" w:cs="Times New Roman"/>
          <w:sz w:val="22"/>
        </w:rPr>
        <w:sectPr w:rsidR="002F18A6" w:rsidSect="002F18A6">
          <w:type w:val="continuous"/>
          <w:pgSz w:w="11906" w:h="16838"/>
          <w:pgMar w:top="1440" w:right="1108" w:bottom="1440" w:left="1134" w:header="720" w:footer="720" w:gutter="0"/>
          <w:cols w:space="609"/>
        </w:sectPr>
      </w:pPr>
    </w:p>
    <w:p w:rsidR="00257DD6" w:rsidRPr="005A1E4C" w:rsidRDefault="00257DD6" w:rsidP="002C05BA">
      <w:pPr>
        <w:spacing w:before="100" w:beforeAutospacing="1" w:after="100" w:afterAutospacing="1" w:line="240" w:lineRule="auto"/>
        <w:rPr>
          <w:rFonts w:eastAsia="Times New Roman" w:cs="Times New Roman"/>
          <w:sz w:val="22"/>
        </w:rPr>
      </w:pPr>
      <w:r w:rsidRPr="005A1E4C">
        <w:rPr>
          <w:rFonts w:eastAsia="Times New Roman" w:cs="Times New Roman"/>
          <w:sz w:val="22"/>
        </w:rPr>
        <w:lastRenderedPageBreak/>
        <w:t xml:space="preserve">Studies carried out by researchers from UEL’s </w:t>
      </w:r>
      <w:hyperlink r:id="rId11" w:history="1">
        <w:r w:rsidRPr="00244BD3">
          <w:rPr>
            <w:rFonts w:eastAsia="Times New Roman" w:cs="Times New Roman"/>
            <w:color w:val="0000FF"/>
            <w:sz w:val="22"/>
            <w:u w:val="single"/>
          </w:rPr>
          <w:t>Institute for Health and Human Development (IHHD</w:t>
        </w:r>
      </w:hyperlink>
      <w:r w:rsidRPr="005A1E4C">
        <w:rPr>
          <w:rFonts w:eastAsia="Times New Roman" w:cs="Times New Roman"/>
          <w:sz w:val="22"/>
        </w:rPr>
        <w:t>) is influencing the way in which life-saving treatments are funded for those living in poverty and has helped to develop new strategies for the provision of high quality comprehensive primary care across India.</w:t>
      </w:r>
    </w:p>
    <w:p w:rsidR="00257DD6" w:rsidRPr="005A1E4C" w:rsidRDefault="00257DD6" w:rsidP="002C05BA">
      <w:pPr>
        <w:spacing w:before="100" w:beforeAutospacing="1" w:after="100" w:afterAutospacing="1" w:line="240" w:lineRule="auto"/>
        <w:rPr>
          <w:rFonts w:eastAsia="Times New Roman" w:cs="Times New Roman"/>
          <w:sz w:val="22"/>
        </w:rPr>
      </w:pPr>
      <w:r w:rsidRPr="005A1E4C">
        <w:rPr>
          <w:rFonts w:eastAsia="Times New Roman" w:cs="Times New Roman"/>
          <w:sz w:val="22"/>
        </w:rPr>
        <w:t>Crippling out of pocket health expenditure and lack of access to health care among the poor are significant challenges to improving health in India.  In the highly populated states of Andhra Pradesh (AP) and Madhya Pradesh (MP), which are home to 154 million people, many live in poverty and suffer high rates of disease and mortality.</w:t>
      </w:r>
    </w:p>
    <w:p w:rsidR="00257DD6" w:rsidRPr="005A1E4C" w:rsidRDefault="00257DD6" w:rsidP="002C05BA">
      <w:pPr>
        <w:spacing w:before="100" w:beforeAutospacing="1" w:after="100" w:afterAutospacing="1" w:line="240" w:lineRule="auto"/>
        <w:rPr>
          <w:rFonts w:eastAsia="Times New Roman" w:cs="Times New Roman"/>
          <w:sz w:val="22"/>
        </w:rPr>
      </w:pPr>
      <w:r w:rsidRPr="005A1E4C">
        <w:rPr>
          <w:rFonts w:eastAsia="Times New Roman" w:cs="Times New Roman"/>
          <w:sz w:val="22"/>
        </w:rPr>
        <w:t xml:space="preserve">Leading international health expert Professor Mala Rao has been evaluating health financing schemes in both of these states to assess their effectiveness and efficiency on behalf of </w:t>
      </w:r>
      <w:r w:rsidRPr="005A1E4C">
        <w:rPr>
          <w:rFonts w:eastAsia="Times New Roman" w:cs="Times New Roman"/>
          <w:sz w:val="22"/>
        </w:rPr>
        <w:lastRenderedPageBreak/>
        <w:t xml:space="preserve">organisations such as the UK Department for International Development (DFID), and supported by the </w:t>
      </w:r>
      <w:proofErr w:type="spellStart"/>
      <w:r w:rsidRPr="005A1E4C">
        <w:rPr>
          <w:rFonts w:eastAsia="Times New Roman" w:cs="Times New Roman"/>
          <w:sz w:val="22"/>
        </w:rPr>
        <w:t>Wellcome</w:t>
      </w:r>
      <w:proofErr w:type="spellEnd"/>
      <w:r w:rsidRPr="005A1E4C">
        <w:rPr>
          <w:rFonts w:eastAsia="Times New Roman" w:cs="Times New Roman"/>
          <w:sz w:val="22"/>
        </w:rPr>
        <w:t xml:space="preserve"> Trust, IDRC and the Rockefeller Foundation.</w:t>
      </w:r>
    </w:p>
    <w:p w:rsidR="00257DD6" w:rsidRPr="00244BD3" w:rsidRDefault="00257DD6" w:rsidP="002C05BA">
      <w:pPr>
        <w:spacing w:before="100" w:beforeAutospacing="1" w:after="100" w:afterAutospacing="1" w:line="240" w:lineRule="auto"/>
        <w:rPr>
          <w:rFonts w:eastAsia="Times New Roman" w:cs="Times New Roman"/>
          <w:sz w:val="22"/>
        </w:rPr>
      </w:pPr>
      <w:r w:rsidRPr="005A1E4C">
        <w:rPr>
          <w:rFonts w:eastAsia="Times New Roman" w:cs="Times New Roman"/>
          <w:sz w:val="22"/>
        </w:rPr>
        <w:t>Rao’s review of the Government of Madhya Pradesh’s State Illness Assistance Fund (SIAF) revealed that the scheme was underused and inequitable. It also exposed a poor data management system and highlighted that access to treatment was complex and burdensome.</w:t>
      </w:r>
      <w:r w:rsidRPr="00244BD3">
        <w:rPr>
          <w:rFonts w:eastAsia="Times New Roman" w:cs="Times New Roman"/>
          <w:sz w:val="22"/>
        </w:rPr>
        <w:t xml:space="preserve"> </w:t>
      </w:r>
      <w:r w:rsidRPr="005A1E4C">
        <w:rPr>
          <w:rFonts w:eastAsia="Times New Roman" w:cs="Times New Roman"/>
          <w:sz w:val="22"/>
        </w:rPr>
        <w:t>The review supported the development of more efficient financial support for care of the seriously ill and led to significant improvements such as the constitution of a State Steering Group which was tasked with overseeing the restructuring of the scheme.</w:t>
      </w:r>
      <w:r w:rsidRPr="00244BD3">
        <w:rPr>
          <w:rFonts w:eastAsia="Times New Roman" w:cs="Times New Roman"/>
          <w:sz w:val="22"/>
        </w:rPr>
        <w:t xml:space="preserve"> </w:t>
      </w:r>
    </w:p>
    <w:p w:rsidR="00257DD6" w:rsidRPr="005A1E4C" w:rsidRDefault="00257DD6" w:rsidP="002C05BA">
      <w:pPr>
        <w:spacing w:before="100" w:beforeAutospacing="1" w:after="100" w:afterAutospacing="1" w:line="240" w:lineRule="auto"/>
        <w:rPr>
          <w:rFonts w:eastAsia="Times New Roman" w:cs="Times New Roman"/>
          <w:sz w:val="22"/>
        </w:rPr>
      </w:pPr>
      <w:r w:rsidRPr="005A1E4C">
        <w:rPr>
          <w:rFonts w:eastAsia="Times New Roman" w:cs="Times New Roman"/>
          <w:sz w:val="22"/>
        </w:rPr>
        <w:t xml:space="preserve">Government orders reflecting Rao’s recommendations have since resulted in a change to the fund management and delivery, </w:t>
      </w:r>
      <w:r w:rsidRPr="005A1E4C">
        <w:rPr>
          <w:rFonts w:eastAsia="Times New Roman" w:cs="Times New Roman"/>
          <w:sz w:val="22"/>
        </w:rPr>
        <w:lastRenderedPageBreak/>
        <w:t>re-negotiated costs with healthcare providers, devolved powers to authorize funds at district level, and better verification of SIAF-funded patients.</w:t>
      </w:r>
      <w:r w:rsidRPr="00244BD3">
        <w:rPr>
          <w:rFonts w:eastAsia="Times New Roman" w:cs="Times New Roman"/>
          <w:sz w:val="22"/>
        </w:rPr>
        <w:t xml:space="preserve"> </w:t>
      </w:r>
      <w:r w:rsidRPr="005A1E4C">
        <w:rPr>
          <w:rFonts w:eastAsia="Times New Roman" w:cs="Times New Roman"/>
          <w:sz w:val="22"/>
        </w:rPr>
        <w:t xml:space="preserve">Subsequently, the World Bank has acknowledged ‘substantial </w:t>
      </w:r>
      <w:proofErr w:type="gramStart"/>
      <w:r w:rsidRPr="005A1E4C">
        <w:rPr>
          <w:rFonts w:eastAsia="Times New Roman" w:cs="Times New Roman"/>
          <w:sz w:val="22"/>
        </w:rPr>
        <w:t>progress’</w:t>
      </w:r>
      <w:proofErr w:type="gramEnd"/>
      <w:r w:rsidRPr="005A1E4C">
        <w:rPr>
          <w:rFonts w:eastAsia="Times New Roman" w:cs="Times New Roman"/>
          <w:sz w:val="22"/>
        </w:rPr>
        <w:t xml:space="preserve"> in the management of the scheme, laying the foundations for the eventual development of a single comprehensive health delivery system.</w:t>
      </w:r>
      <w:r w:rsidRPr="00244BD3">
        <w:rPr>
          <w:rFonts w:eastAsia="Times New Roman" w:cs="Times New Roman"/>
          <w:sz w:val="22"/>
        </w:rPr>
        <w:t xml:space="preserve"> </w:t>
      </w:r>
      <w:r w:rsidRPr="005A1E4C">
        <w:rPr>
          <w:rFonts w:eastAsia="Times New Roman" w:cs="Times New Roman"/>
          <w:sz w:val="22"/>
        </w:rPr>
        <w:t>For citizens, the number of annual total approvals for treatment has risen more than threefold, and a new feedback system is now being used to support improved monitoring, evaluation and selection of healthcare providers.</w:t>
      </w:r>
    </w:p>
    <w:p w:rsidR="00257DD6" w:rsidRPr="005A1E4C" w:rsidRDefault="00257DD6" w:rsidP="002C05BA">
      <w:pPr>
        <w:spacing w:before="100" w:beforeAutospacing="1" w:after="100" w:afterAutospacing="1" w:line="240" w:lineRule="auto"/>
        <w:rPr>
          <w:rFonts w:eastAsia="Times New Roman" w:cs="Times New Roman"/>
          <w:sz w:val="22"/>
        </w:rPr>
      </w:pPr>
      <w:r w:rsidRPr="005A1E4C">
        <w:rPr>
          <w:rFonts w:eastAsia="Times New Roman" w:cs="Times New Roman"/>
          <w:sz w:val="22"/>
        </w:rPr>
        <w:t>A separate assessment of the Government of Andhra Pradesh’s (</w:t>
      </w:r>
      <w:proofErr w:type="spellStart"/>
      <w:r w:rsidRPr="005A1E4C">
        <w:rPr>
          <w:rFonts w:eastAsia="Times New Roman" w:cs="Times New Roman"/>
          <w:sz w:val="22"/>
        </w:rPr>
        <w:t>GoAP</w:t>
      </w:r>
      <w:proofErr w:type="spellEnd"/>
      <w:r w:rsidRPr="005A1E4C">
        <w:rPr>
          <w:rFonts w:eastAsia="Times New Roman" w:cs="Times New Roman"/>
          <w:sz w:val="22"/>
        </w:rPr>
        <w:t xml:space="preserve">) Rajiv </w:t>
      </w:r>
      <w:proofErr w:type="spellStart"/>
      <w:r w:rsidRPr="005A1E4C">
        <w:rPr>
          <w:rFonts w:eastAsia="Times New Roman" w:cs="Times New Roman"/>
          <w:sz w:val="22"/>
        </w:rPr>
        <w:t>Aarogyasri</w:t>
      </w:r>
      <w:proofErr w:type="spellEnd"/>
      <w:r w:rsidRPr="005A1E4C">
        <w:rPr>
          <w:rFonts w:eastAsia="Times New Roman" w:cs="Times New Roman"/>
          <w:sz w:val="22"/>
        </w:rPr>
        <w:t xml:space="preserve"> Community Health Insurance scheme indicated a need for hospital-based healthcare schemes to be built on a strong platform of primary (family) care. The assessment also informed the development of a similar scheme in Maharashtra, the 'control' state in the research.</w:t>
      </w:r>
    </w:p>
    <w:p w:rsidR="00257DD6" w:rsidRPr="005A1E4C" w:rsidRDefault="00257DD6" w:rsidP="002C05BA">
      <w:pPr>
        <w:spacing w:before="100" w:beforeAutospacing="1" w:after="100" w:afterAutospacing="1" w:line="240" w:lineRule="auto"/>
        <w:rPr>
          <w:rFonts w:eastAsia="Times New Roman" w:cs="Times New Roman"/>
          <w:sz w:val="22"/>
        </w:rPr>
      </w:pPr>
      <w:r w:rsidRPr="005A1E4C">
        <w:rPr>
          <w:rFonts w:eastAsia="Times New Roman" w:cs="Times New Roman"/>
          <w:sz w:val="22"/>
        </w:rPr>
        <w:t>Findings from both assessments supported the promotion of comprehensive primary care as the most effective means to reduce healthcare costs and improve health literacy, helping people to better understand their health care entitlements and navigate complex care pathways.</w:t>
      </w:r>
    </w:p>
    <w:p w:rsidR="00AA5F9D" w:rsidRDefault="00257DD6" w:rsidP="002C05BA">
      <w:pPr>
        <w:spacing w:before="100" w:beforeAutospacing="1" w:after="100" w:afterAutospacing="1" w:line="240" w:lineRule="auto"/>
        <w:rPr>
          <w:rFonts w:eastAsia="Times New Roman" w:cs="Times New Roman"/>
          <w:sz w:val="22"/>
        </w:rPr>
      </w:pPr>
      <w:r w:rsidRPr="005A1E4C">
        <w:rPr>
          <w:rFonts w:eastAsia="Times New Roman" w:cs="Times New Roman"/>
          <w:sz w:val="22"/>
        </w:rPr>
        <w:t xml:space="preserve">In recognition of her work, Rao was appointed by the Chair of the Health </w:t>
      </w:r>
      <w:proofErr w:type="spellStart"/>
      <w:r w:rsidRPr="005A1E4C">
        <w:rPr>
          <w:rFonts w:eastAsia="Times New Roman" w:cs="Times New Roman"/>
          <w:sz w:val="22"/>
        </w:rPr>
        <w:t>Workstream</w:t>
      </w:r>
      <w:proofErr w:type="spellEnd"/>
      <w:r w:rsidRPr="005A1E4C">
        <w:rPr>
          <w:rFonts w:eastAsia="Times New Roman" w:cs="Times New Roman"/>
          <w:sz w:val="22"/>
        </w:rPr>
        <w:t xml:space="preserve"> of the UK-India CEO Forum as the Public Health academic expert to lead the development of a </w:t>
      </w:r>
      <w:r w:rsidRPr="00244BD3">
        <w:rPr>
          <w:rFonts w:eastAsia="Times New Roman" w:cs="Times New Roman"/>
          <w:color w:val="auto"/>
          <w:sz w:val="22"/>
        </w:rPr>
        <w:t>Whit</w:t>
      </w:r>
      <w:r w:rsidRPr="00244BD3">
        <w:rPr>
          <w:rFonts w:eastAsia="Times New Roman" w:cs="Times New Roman"/>
          <w:color w:val="auto"/>
          <w:sz w:val="22"/>
        </w:rPr>
        <w:t>e</w:t>
      </w:r>
      <w:r w:rsidRPr="00244BD3">
        <w:rPr>
          <w:rFonts w:eastAsia="Times New Roman" w:cs="Times New Roman"/>
          <w:color w:val="auto"/>
          <w:sz w:val="22"/>
        </w:rPr>
        <w:t xml:space="preserve"> Paper</w:t>
      </w:r>
      <w:r w:rsidRPr="005A1E4C">
        <w:rPr>
          <w:rFonts w:eastAsia="Times New Roman" w:cs="Times New Roman"/>
          <w:sz w:val="22"/>
        </w:rPr>
        <w:t xml:space="preserve"> exploring the benefits and practicalities of a primary care partnership between India and the UK.</w:t>
      </w:r>
      <w:r w:rsidRPr="00244BD3">
        <w:rPr>
          <w:rFonts w:eastAsia="Times New Roman" w:cs="Times New Roman"/>
          <w:sz w:val="22"/>
        </w:rPr>
        <w:t xml:space="preserve"> </w:t>
      </w:r>
      <w:r w:rsidRPr="005A1E4C">
        <w:rPr>
          <w:rFonts w:eastAsia="Times New Roman" w:cs="Times New Roman"/>
          <w:sz w:val="22"/>
        </w:rPr>
        <w:t xml:space="preserve">The paper reached a very wide global audience of health policy leaders when it was published in the </w:t>
      </w:r>
      <w:hyperlink r:id="rId12" w:history="1">
        <w:r w:rsidRPr="00244BD3">
          <w:rPr>
            <w:rStyle w:val="Hyperlink"/>
            <w:rFonts w:eastAsia="Times New Roman" w:cs="Times New Roman"/>
            <w:sz w:val="22"/>
          </w:rPr>
          <w:t>British Medical Journa</w:t>
        </w:r>
      </w:hyperlink>
      <w:r w:rsidRPr="005A1E4C">
        <w:rPr>
          <w:rFonts w:eastAsia="Times New Roman" w:cs="Times New Roman"/>
          <w:sz w:val="22"/>
        </w:rPr>
        <w:t>l in May 2012. In India, the paper, and its discussion at a UK-India workshop in 2012, influenced the Government of India to encourage states to plan primary care pilots which would inform the development of comprehensive primary care, as a crucial platform for affordable universal health care.</w:t>
      </w:r>
      <w:r w:rsidR="00AA5F9D">
        <w:rPr>
          <w:rFonts w:eastAsia="Times New Roman" w:cs="Times New Roman"/>
          <w:sz w:val="22"/>
        </w:rPr>
        <w:t xml:space="preserve"> </w:t>
      </w:r>
    </w:p>
    <w:p w:rsidR="00257DD6" w:rsidRPr="00244BD3" w:rsidRDefault="00257DD6" w:rsidP="002C05BA">
      <w:pPr>
        <w:spacing w:before="100" w:beforeAutospacing="1" w:after="100" w:afterAutospacing="1" w:line="240" w:lineRule="auto"/>
        <w:rPr>
          <w:rFonts w:eastAsia="Times New Roman" w:cs="Times New Roman"/>
          <w:sz w:val="22"/>
        </w:rPr>
      </w:pPr>
      <w:r w:rsidRPr="005A1E4C">
        <w:rPr>
          <w:rFonts w:eastAsia="Times New Roman" w:cs="Times New Roman"/>
          <w:sz w:val="22"/>
        </w:rPr>
        <w:t>In Kerala, Rao has helped to develop proposals for piloting a new model of care across three</w:t>
      </w:r>
      <w:r w:rsidR="00AA5F9D">
        <w:rPr>
          <w:rFonts w:eastAsia="Times New Roman" w:cs="Times New Roman"/>
          <w:sz w:val="22"/>
        </w:rPr>
        <w:t xml:space="preserve"> </w:t>
      </w:r>
      <w:r w:rsidRPr="005A1E4C">
        <w:rPr>
          <w:rFonts w:eastAsia="Times New Roman" w:cs="Times New Roman"/>
          <w:sz w:val="22"/>
        </w:rPr>
        <w:t xml:space="preserve">primary health centres. In May 2013, the Government of India approved funding for the Government of Kerala to implement the proposal, which if successful, will be replicated </w:t>
      </w:r>
      <w:r w:rsidRPr="005A1E4C">
        <w:rPr>
          <w:rFonts w:eastAsia="Times New Roman" w:cs="Times New Roman"/>
          <w:sz w:val="22"/>
        </w:rPr>
        <w:lastRenderedPageBreak/>
        <w:t>across the country to reduce out-of-pocket expenses for outpatient care, provide better and more comprehensive and systematic community based care for people with a wide range of medical conditions, and reduce the need for secondary care.</w:t>
      </w:r>
    </w:p>
    <w:p w:rsidR="00257DD6" w:rsidRPr="00244BD3" w:rsidRDefault="00257DD6" w:rsidP="002C05BA">
      <w:pPr>
        <w:pStyle w:val="Heading3"/>
        <w:rPr>
          <w:rFonts w:ascii="Gill Sans MT" w:eastAsia="Gill Sans MT" w:hAnsi="Gill Sans MT" w:cs="Gill Sans MT"/>
          <w:color w:val="0097D1"/>
          <w:sz w:val="28"/>
          <w:szCs w:val="22"/>
        </w:rPr>
      </w:pPr>
      <w:r w:rsidRPr="00244BD3">
        <w:rPr>
          <w:rFonts w:ascii="Gill Sans MT" w:eastAsia="Gill Sans MT" w:hAnsi="Gill Sans MT" w:cs="Gill Sans MT"/>
          <w:color w:val="0097D1"/>
          <w:sz w:val="28"/>
          <w:szCs w:val="22"/>
        </w:rPr>
        <w:t>About the researcher</w:t>
      </w:r>
    </w:p>
    <w:p w:rsidR="00AA5F9D" w:rsidRDefault="00257DD6" w:rsidP="00AA5F9D">
      <w:pPr>
        <w:spacing w:before="100" w:beforeAutospacing="1" w:after="100" w:afterAutospacing="1" w:line="240" w:lineRule="auto"/>
        <w:jc w:val="both"/>
        <w:rPr>
          <w:rFonts w:eastAsia="Times New Roman" w:cs="Times New Roman"/>
          <w:sz w:val="24"/>
          <w:szCs w:val="24"/>
        </w:rPr>
      </w:pPr>
      <w:r w:rsidRPr="00AA5F9D">
        <w:rPr>
          <w:rStyle w:val="QuoteChar"/>
        </w:rPr>
        <w:drawing>
          <wp:anchor distT="0" distB="0" distL="114300" distR="114300" simplePos="0" relativeHeight="251661312" behindDoc="1" locked="0" layoutInCell="1" allowOverlap="1">
            <wp:simplePos x="0" y="0"/>
            <wp:positionH relativeFrom="column">
              <wp:posOffset>1421765</wp:posOffset>
            </wp:positionH>
            <wp:positionV relativeFrom="paragraph">
              <wp:posOffset>221491</wp:posOffset>
            </wp:positionV>
            <wp:extent cx="1424940" cy="1947545"/>
            <wp:effectExtent l="0" t="0" r="3810" b="0"/>
            <wp:wrapTight wrapText="bothSides">
              <wp:wrapPolygon edited="0">
                <wp:start x="0" y="0"/>
                <wp:lineTo x="0" y="21339"/>
                <wp:lineTo x="21369" y="21339"/>
                <wp:lineTo x="21369" y="0"/>
                <wp:lineTo x="0" y="0"/>
              </wp:wrapPolygon>
            </wp:wrapTight>
            <wp:docPr id="5" name="Picture 5" descr="Mala R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a Ra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940" cy="1947545"/>
                    </a:xfrm>
                    <a:prstGeom prst="rect">
                      <a:avLst/>
                    </a:prstGeom>
                    <a:noFill/>
                    <a:ln>
                      <a:noFill/>
                    </a:ln>
                  </pic:spPr>
                </pic:pic>
              </a:graphicData>
            </a:graphic>
          </wp:anchor>
        </w:drawing>
      </w:r>
      <w:r w:rsidRPr="00AA5F9D">
        <w:rPr>
          <w:rStyle w:val="QuoteChar"/>
        </w:rPr>
        <w:t>Mala Rao is Professor of International Health at UEL. She was Honorary Public Health Adviser to the Administrative Staff College of India, Hyderabad during 2011-2013 and the lead technical adviser to DFID's team in Madhya Pradesh, India. She was the founding Director of the first Indian Institute of Public Health established by the Public Health Foundation of India. In 2012, Mala was awarded an O.B.E. in the Queen's New Year's Honours List for services to public health in the UK and overseas. Her 30 years work in policy, practice and research work has had major impact in both the UK and India.</w:t>
      </w:r>
      <w:r w:rsidRPr="00244BD3">
        <w:rPr>
          <w:rFonts w:eastAsia="Times New Roman" w:cs="Times New Roman"/>
          <w:sz w:val="24"/>
          <w:szCs w:val="24"/>
        </w:rPr>
        <w:t xml:space="preserve"> </w:t>
      </w:r>
    </w:p>
    <w:p w:rsidR="00257DD6" w:rsidRPr="00AA5F9D" w:rsidRDefault="00AA5F9D" w:rsidP="00AA5F9D">
      <w:pPr>
        <w:spacing w:before="100" w:beforeAutospacing="1" w:after="100" w:afterAutospacing="1" w:line="240" w:lineRule="auto"/>
        <w:jc w:val="both"/>
        <w:rPr>
          <w:rStyle w:val="SubtleReference"/>
        </w:rPr>
      </w:pPr>
      <w:hyperlink r:id="rId14" w:history="1">
        <w:r w:rsidRPr="00AA5F9D">
          <w:rPr>
            <w:rStyle w:val="SubtleReference"/>
          </w:rPr>
          <w:t>http://www.uel.ac.uk/hsb/staff/malarao/</w:t>
        </w:r>
      </w:hyperlink>
      <w:r w:rsidRPr="00AA5F9D">
        <w:rPr>
          <w:rStyle w:val="SubtleReference"/>
        </w:rPr>
        <w:t xml:space="preserve"> </w:t>
      </w:r>
    </w:p>
    <w:p w:rsidR="00257DD6" w:rsidRPr="00244BD3" w:rsidRDefault="00257DD6" w:rsidP="00C46EC7">
      <w:pPr>
        <w:pStyle w:val="Heading1"/>
        <w:spacing w:after="76"/>
        <w:ind w:left="-5"/>
      </w:pPr>
      <w:r w:rsidRPr="00244BD3">
        <w:t xml:space="preserve">Acknowledgments </w:t>
      </w:r>
    </w:p>
    <w:p w:rsidR="00257DD6" w:rsidRDefault="002F18A6" w:rsidP="00C46EC7">
      <w:pPr>
        <w:pStyle w:val="well-dl"/>
        <w:rPr>
          <w:rFonts w:ascii="Gill Sans MT" w:hAnsi="Gill Sans MT"/>
          <w:sz w:val="22"/>
        </w:rPr>
      </w:pPr>
      <w:r>
        <w:rPr>
          <w:rFonts w:ascii="Gill Sans MT" w:hAnsi="Gill Sans MT"/>
          <w:sz w:val="22"/>
        </w:rPr>
        <w:t xml:space="preserve">The </w:t>
      </w:r>
      <w:proofErr w:type="spellStart"/>
      <w:r>
        <w:rPr>
          <w:rFonts w:ascii="Gill Sans MT" w:hAnsi="Gill Sans MT"/>
          <w:sz w:val="22"/>
        </w:rPr>
        <w:t>GoAP</w:t>
      </w:r>
      <w:proofErr w:type="spellEnd"/>
      <w:r>
        <w:rPr>
          <w:rFonts w:ascii="Gill Sans MT" w:hAnsi="Gill Sans MT"/>
          <w:sz w:val="22"/>
        </w:rPr>
        <w:t>/SIAF</w:t>
      </w:r>
      <w:r w:rsidR="00257DD6" w:rsidRPr="00244BD3">
        <w:rPr>
          <w:rFonts w:ascii="Gill Sans MT" w:hAnsi="Gill Sans MT"/>
          <w:sz w:val="22"/>
        </w:rPr>
        <w:t xml:space="preserve"> research was funded by the International Development Research Centre, Canada; </w:t>
      </w:r>
      <w:r w:rsidR="00257DD6">
        <w:rPr>
          <w:rFonts w:ascii="Gill Sans MT" w:hAnsi="Gill Sans MT"/>
          <w:sz w:val="22"/>
        </w:rPr>
        <w:t xml:space="preserve">the </w:t>
      </w:r>
      <w:proofErr w:type="spellStart"/>
      <w:r w:rsidR="00257DD6" w:rsidRPr="00244BD3">
        <w:rPr>
          <w:rFonts w:ascii="Gill Sans MT" w:hAnsi="Gill Sans MT"/>
          <w:sz w:val="22"/>
        </w:rPr>
        <w:t>Wellcome</w:t>
      </w:r>
      <w:proofErr w:type="spellEnd"/>
      <w:r w:rsidR="00257DD6" w:rsidRPr="00244BD3">
        <w:rPr>
          <w:rFonts w:ascii="Gill Sans MT" w:hAnsi="Gill Sans MT"/>
          <w:sz w:val="22"/>
        </w:rPr>
        <w:t xml:space="preserve"> Trust; UK Department for International Development</w:t>
      </w:r>
      <w:r>
        <w:rPr>
          <w:rFonts w:ascii="Gill Sans MT" w:hAnsi="Gill Sans MT"/>
          <w:sz w:val="22"/>
        </w:rPr>
        <w:t>;</w:t>
      </w:r>
      <w:r w:rsidR="00257DD6" w:rsidRPr="00244BD3">
        <w:rPr>
          <w:rFonts w:ascii="Gill Sans MT" w:hAnsi="Gill Sans MT"/>
          <w:sz w:val="22"/>
        </w:rPr>
        <w:t xml:space="preserve"> and </w:t>
      </w:r>
      <w:r w:rsidR="00257DD6">
        <w:rPr>
          <w:rFonts w:ascii="Gill Sans MT" w:hAnsi="Gill Sans MT"/>
          <w:sz w:val="22"/>
        </w:rPr>
        <w:t xml:space="preserve">the </w:t>
      </w:r>
      <w:r w:rsidR="00257DD6" w:rsidRPr="00244BD3">
        <w:rPr>
          <w:rFonts w:ascii="Gill Sans MT" w:hAnsi="Gill Sans MT"/>
          <w:sz w:val="22"/>
        </w:rPr>
        <w:t xml:space="preserve">Rockefeller Trust. </w:t>
      </w:r>
    </w:p>
    <w:p w:rsidR="00B65D94" w:rsidRDefault="00590D17" w:rsidP="00C46EC7">
      <w:pPr>
        <w:pStyle w:val="well-dl"/>
        <w:rPr>
          <w:rFonts w:ascii="Gill Sans MT" w:hAnsi="Gill Sans MT"/>
          <w:sz w:val="22"/>
        </w:rPr>
      </w:pPr>
      <w:r>
        <w:rPr>
          <w:rFonts w:ascii="Gill Sans MT" w:hAnsi="Gill Sans MT"/>
          <w:sz w:val="22"/>
        </w:rPr>
        <w:t xml:space="preserve">As well as Mala Rao, </w:t>
      </w:r>
      <w:proofErr w:type="spellStart"/>
      <w:r>
        <w:rPr>
          <w:rFonts w:ascii="Gill Sans MT" w:hAnsi="Gill Sans MT"/>
          <w:sz w:val="22"/>
        </w:rPr>
        <w:t>Gopalakrishnan</w:t>
      </w:r>
      <w:proofErr w:type="spellEnd"/>
      <w:r>
        <w:rPr>
          <w:rFonts w:ascii="Gill Sans MT" w:hAnsi="Gill Sans MT"/>
          <w:sz w:val="22"/>
        </w:rPr>
        <w:t xml:space="preserve"> Netuveli and Adrian Renton from IHHD at UEL, the proj</w:t>
      </w:r>
      <w:r w:rsidR="00B65D94">
        <w:rPr>
          <w:rFonts w:ascii="Gill Sans MT" w:hAnsi="Gill Sans MT"/>
          <w:sz w:val="22"/>
        </w:rPr>
        <w:t>ect involved collaborators from:</w:t>
      </w:r>
      <w:bookmarkStart w:id="0" w:name="_GoBack"/>
      <w:bookmarkEnd w:id="0"/>
    </w:p>
    <w:p w:rsidR="00B65D94" w:rsidRDefault="00590D17" w:rsidP="00B65D94">
      <w:pPr>
        <w:pStyle w:val="well-dl"/>
        <w:numPr>
          <w:ilvl w:val="0"/>
          <w:numId w:val="4"/>
        </w:numPr>
        <w:rPr>
          <w:rFonts w:ascii="Gill Sans MT" w:hAnsi="Gill Sans MT"/>
          <w:sz w:val="22"/>
        </w:rPr>
      </w:pPr>
      <w:r w:rsidRPr="00590D17">
        <w:rPr>
          <w:rFonts w:ascii="Gill Sans MT" w:hAnsi="Gill Sans MT"/>
          <w:sz w:val="22"/>
        </w:rPr>
        <w:t>Administrative St</w:t>
      </w:r>
      <w:r>
        <w:rPr>
          <w:rFonts w:ascii="Gill Sans MT" w:hAnsi="Gill Sans MT"/>
          <w:sz w:val="22"/>
        </w:rPr>
        <w:t>aff College of India, Hyderabad;</w:t>
      </w:r>
      <w:r w:rsidRPr="00590D17">
        <w:rPr>
          <w:rFonts w:ascii="Gill Sans MT" w:hAnsi="Gill Sans MT"/>
          <w:sz w:val="22"/>
        </w:rPr>
        <w:t xml:space="preserve"> </w:t>
      </w:r>
    </w:p>
    <w:p w:rsidR="00B65D94" w:rsidRDefault="00590D17" w:rsidP="00B65D94">
      <w:pPr>
        <w:pStyle w:val="well-dl"/>
        <w:numPr>
          <w:ilvl w:val="0"/>
          <w:numId w:val="4"/>
        </w:numPr>
        <w:rPr>
          <w:rFonts w:ascii="Gill Sans MT" w:hAnsi="Gill Sans MT"/>
          <w:sz w:val="22"/>
        </w:rPr>
      </w:pPr>
      <w:r w:rsidRPr="00590D17">
        <w:rPr>
          <w:rFonts w:ascii="Gill Sans MT" w:hAnsi="Gill Sans MT"/>
          <w:sz w:val="22"/>
        </w:rPr>
        <w:t>ACCESS Health International</w:t>
      </w:r>
      <w:r>
        <w:rPr>
          <w:rFonts w:ascii="Gill Sans MT" w:hAnsi="Gill Sans MT"/>
          <w:sz w:val="22"/>
        </w:rPr>
        <w:t>;</w:t>
      </w:r>
      <w:r w:rsidRPr="00590D17">
        <w:rPr>
          <w:rFonts w:ascii="Gill Sans MT" w:hAnsi="Gill Sans MT"/>
          <w:sz w:val="22"/>
        </w:rPr>
        <w:t xml:space="preserve"> </w:t>
      </w:r>
    </w:p>
    <w:p w:rsidR="00B65D94" w:rsidRDefault="00590D17" w:rsidP="00B65D94">
      <w:pPr>
        <w:pStyle w:val="well-dl"/>
        <w:numPr>
          <w:ilvl w:val="0"/>
          <w:numId w:val="4"/>
        </w:numPr>
        <w:rPr>
          <w:rFonts w:ascii="Gill Sans MT" w:hAnsi="Gill Sans MT"/>
          <w:sz w:val="22"/>
        </w:rPr>
      </w:pPr>
      <w:proofErr w:type="spellStart"/>
      <w:r w:rsidRPr="00590D17">
        <w:rPr>
          <w:rFonts w:ascii="Gill Sans MT" w:hAnsi="Gill Sans MT"/>
          <w:sz w:val="22"/>
        </w:rPr>
        <w:t>Sug</w:t>
      </w:r>
      <w:r>
        <w:rPr>
          <w:rFonts w:ascii="Gill Sans MT" w:hAnsi="Gill Sans MT"/>
          <w:sz w:val="22"/>
        </w:rPr>
        <w:t>haVazhvu</w:t>
      </w:r>
      <w:proofErr w:type="spellEnd"/>
      <w:r>
        <w:rPr>
          <w:rFonts w:ascii="Gill Sans MT" w:hAnsi="Gill Sans MT"/>
          <w:sz w:val="22"/>
        </w:rPr>
        <w:t xml:space="preserve"> Healthcare, </w:t>
      </w:r>
      <w:proofErr w:type="spellStart"/>
      <w:r>
        <w:rPr>
          <w:rFonts w:ascii="Gill Sans MT" w:hAnsi="Gill Sans MT"/>
          <w:sz w:val="22"/>
        </w:rPr>
        <w:t>Thanjavur</w:t>
      </w:r>
      <w:proofErr w:type="spellEnd"/>
      <w:r w:rsidRPr="00590D17">
        <w:rPr>
          <w:rFonts w:ascii="Gill Sans MT" w:hAnsi="Gill Sans MT"/>
          <w:sz w:val="22"/>
        </w:rPr>
        <w:t>, India</w:t>
      </w:r>
      <w:r>
        <w:rPr>
          <w:rFonts w:ascii="Gill Sans MT" w:hAnsi="Gill Sans MT"/>
          <w:sz w:val="22"/>
        </w:rPr>
        <w:t>;</w:t>
      </w:r>
      <w:r w:rsidRPr="00590D17">
        <w:rPr>
          <w:rFonts w:ascii="Gill Sans MT" w:hAnsi="Gill Sans MT"/>
          <w:sz w:val="22"/>
        </w:rPr>
        <w:t xml:space="preserve"> </w:t>
      </w:r>
    </w:p>
    <w:p w:rsidR="00B65D94" w:rsidRDefault="00590D17" w:rsidP="00B65D94">
      <w:pPr>
        <w:pStyle w:val="well-dl"/>
        <w:numPr>
          <w:ilvl w:val="0"/>
          <w:numId w:val="4"/>
        </w:numPr>
        <w:rPr>
          <w:rFonts w:ascii="Gill Sans MT" w:hAnsi="Gill Sans MT"/>
          <w:sz w:val="22"/>
        </w:rPr>
      </w:pPr>
      <w:r w:rsidRPr="00590D17">
        <w:rPr>
          <w:rFonts w:ascii="Gill Sans MT" w:hAnsi="Gill Sans MT"/>
          <w:sz w:val="22"/>
        </w:rPr>
        <w:t>Indian School of Business, Hyderabad</w:t>
      </w:r>
      <w:r>
        <w:rPr>
          <w:rFonts w:ascii="Gill Sans MT" w:hAnsi="Gill Sans MT"/>
          <w:sz w:val="22"/>
        </w:rPr>
        <w:t>;</w:t>
      </w:r>
      <w:r w:rsidRPr="00590D17">
        <w:rPr>
          <w:rFonts w:ascii="Gill Sans MT" w:hAnsi="Gill Sans MT"/>
          <w:sz w:val="22"/>
        </w:rPr>
        <w:t xml:space="preserve"> </w:t>
      </w:r>
    </w:p>
    <w:p w:rsidR="00AA5F9D" w:rsidRDefault="00B65D94" w:rsidP="00B65D94">
      <w:pPr>
        <w:pStyle w:val="well-dl"/>
        <w:numPr>
          <w:ilvl w:val="0"/>
          <w:numId w:val="4"/>
        </w:numPr>
        <w:rPr>
          <w:rFonts w:ascii="Gill Sans MT" w:hAnsi="Gill Sans MT"/>
          <w:sz w:val="22"/>
        </w:rPr>
      </w:pPr>
      <w:r>
        <w:rPr>
          <w:rFonts w:ascii="Gill Sans MT" w:hAnsi="Gill Sans MT"/>
          <w:sz w:val="22"/>
        </w:rPr>
        <w:t xml:space="preserve">World Bank, </w:t>
      </w:r>
      <w:r w:rsidR="00590D17" w:rsidRPr="00590D17">
        <w:rPr>
          <w:rFonts w:ascii="Gill Sans MT" w:hAnsi="Gill Sans MT"/>
          <w:sz w:val="22"/>
        </w:rPr>
        <w:t>Deve</w:t>
      </w:r>
      <w:r>
        <w:rPr>
          <w:rFonts w:ascii="Gill Sans MT" w:hAnsi="Gill Sans MT"/>
          <w:sz w:val="22"/>
        </w:rPr>
        <w:t>lopment Research Group (DECRG)</w:t>
      </w:r>
    </w:p>
    <w:p w:rsidR="00AA5F9D" w:rsidRDefault="00AA5F9D" w:rsidP="00C46EC7">
      <w:pPr>
        <w:pStyle w:val="well-dl"/>
        <w:rPr>
          <w:rFonts w:ascii="Gill Sans MT" w:hAnsi="Gill Sans MT"/>
          <w:sz w:val="22"/>
        </w:rPr>
      </w:pPr>
    </w:p>
    <w:p w:rsidR="00AA5F9D" w:rsidRDefault="00AA5F9D" w:rsidP="00C46EC7">
      <w:pPr>
        <w:pStyle w:val="well-dl"/>
        <w:rPr>
          <w:rFonts w:ascii="Gill Sans MT" w:hAnsi="Gill Sans MT"/>
          <w:sz w:val="22"/>
        </w:rPr>
      </w:pPr>
    </w:p>
    <w:p w:rsidR="00AA5F9D" w:rsidRDefault="00AA5F9D" w:rsidP="00C46EC7">
      <w:pPr>
        <w:pStyle w:val="well-dl"/>
        <w:rPr>
          <w:rFonts w:ascii="Gill Sans MT" w:hAnsi="Gill Sans MT"/>
          <w:sz w:val="22"/>
        </w:rPr>
      </w:pPr>
    </w:p>
    <w:p w:rsidR="00AA5F9D" w:rsidRDefault="00AA5F9D" w:rsidP="00C46EC7">
      <w:pPr>
        <w:pStyle w:val="well-dl"/>
        <w:rPr>
          <w:rFonts w:ascii="Gill Sans MT" w:hAnsi="Gill Sans MT"/>
          <w:sz w:val="22"/>
        </w:rPr>
      </w:pPr>
    </w:p>
    <w:p w:rsidR="00AA5F9D" w:rsidRDefault="00AA5F9D" w:rsidP="00C46EC7">
      <w:pPr>
        <w:pStyle w:val="well-dl"/>
        <w:rPr>
          <w:rFonts w:ascii="Gill Sans MT" w:hAnsi="Gill Sans MT"/>
          <w:sz w:val="22"/>
        </w:rPr>
      </w:pPr>
    </w:p>
    <w:p w:rsidR="00257DD6" w:rsidRDefault="00257DD6">
      <w:pPr>
        <w:spacing w:after="160" w:line="259" w:lineRule="auto"/>
        <w:ind w:left="0" w:right="0" w:firstLine="0"/>
        <w:rPr>
          <w:color w:val="0097D1"/>
          <w:sz w:val="28"/>
        </w:rPr>
      </w:pPr>
    </w:p>
    <w:p w:rsidR="00257DD6" w:rsidRDefault="00257DD6" w:rsidP="004C0F4B">
      <w:pPr>
        <w:pStyle w:val="Heading1"/>
        <w:spacing w:after="76"/>
        <w:ind w:left="-5"/>
        <w:sectPr w:rsidR="00257DD6">
          <w:type w:val="continuous"/>
          <w:pgSz w:w="11906" w:h="16838"/>
          <w:pgMar w:top="1440" w:right="1108" w:bottom="1440" w:left="1134" w:header="720" w:footer="720" w:gutter="0"/>
          <w:cols w:num="2" w:space="609"/>
        </w:sectPr>
      </w:pPr>
    </w:p>
    <w:p w:rsidR="00257DD6" w:rsidRPr="00244BD3" w:rsidRDefault="00257DD6" w:rsidP="004C0F4B">
      <w:pPr>
        <w:pStyle w:val="Heading1"/>
        <w:spacing w:after="76"/>
        <w:ind w:left="-5"/>
      </w:pPr>
      <w:r w:rsidRPr="00244BD3">
        <w:lastRenderedPageBreak/>
        <w:t xml:space="preserve">References </w:t>
      </w:r>
    </w:p>
    <w:p w:rsidR="00257DD6" w:rsidRDefault="00257DD6" w:rsidP="00257DD6">
      <w:pPr>
        <w:pStyle w:val="EndNoteBibliography"/>
        <w:spacing w:after="0"/>
        <w:ind w:left="0" w:firstLine="0"/>
        <w:sectPr w:rsidR="00257DD6" w:rsidSect="00257DD6">
          <w:type w:val="continuous"/>
          <w:pgSz w:w="11906" w:h="16838"/>
          <w:pgMar w:top="1440" w:right="1108" w:bottom="1440" w:left="1134" w:header="720" w:footer="720" w:gutter="0"/>
          <w:cols w:space="609"/>
        </w:sectPr>
      </w:pPr>
    </w:p>
    <w:p w:rsidR="00257DD6" w:rsidRDefault="00257DD6" w:rsidP="00257DD6">
      <w:pPr>
        <w:pStyle w:val="EndNoteBibliography"/>
        <w:spacing w:after="0"/>
        <w:ind w:left="0" w:firstLine="0"/>
      </w:pPr>
      <w:r w:rsidRPr="00201992">
        <w:lastRenderedPageBreak/>
        <w:t xml:space="preserve">Katyal, A., Singh, P. V., Samarth, A., Bergkvist, S. and  Rao, M. (2013) 'Using the Indian National Sample Survey data in public health research', </w:t>
      </w:r>
      <w:r w:rsidRPr="00201992">
        <w:rPr>
          <w:i/>
        </w:rPr>
        <w:t>National Medical Journal of India</w:t>
      </w:r>
      <w:r w:rsidRPr="00201992">
        <w:t>, 26(5),</w:t>
      </w:r>
      <w:r w:rsidRPr="00201992">
        <w:rPr>
          <w:b/>
        </w:rPr>
        <w:t xml:space="preserve"> </w:t>
      </w:r>
      <w:r w:rsidRPr="00201992">
        <w:t>pp. 291-294.</w:t>
      </w:r>
    </w:p>
    <w:p w:rsidR="00257DD6" w:rsidRPr="00201992" w:rsidRDefault="00257DD6" w:rsidP="00257DD6">
      <w:pPr>
        <w:pStyle w:val="EndNoteBibliography"/>
        <w:spacing w:after="0"/>
        <w:ind w:left="0" w:firstLine="0"/>
      </w:pPr>
    </w:p>
    <w:p w:rsidR="00257DD6" w:rsidRPr="00201992" w:rsidRDefault="00257DD6" w:rsidP="00257DD6">
      <w:pPr>
        <w:pStyle w:val="EndNoteBibliography"/>
        <w:spacing w:after="0"/>
        <w:ind w:left="0" w:firstLine="0"/>
      </w:pPr>
      <w:r w:rsidRPr="00201992">
        <w:t xml:space="preserve">Narasimhan, H., Boddu, V., Singh, P. V., Katyal, A., Bergkvist, S. and  Rao, M. (2014) 'The Best Laid Plans: Access to the Rajiv Aarogyasri community health insurance scheme of Andhra Pradesh', </w:t>
      </w:r>
      <w:r w:rsidRPr="00201992">
        <w:rPr>
          <w:i/>
        </w:rPr>
        <w:t>Health, Culture and Society</w:t>
      </w:r>
      <w:r w:rsidRPr="00201992">
        <w:t>, 6(1),</w:t>
      </w:r>
      <w:r w:rsidRPr="00201992">
        <w:rPr>
          <w:b/>
        </w:rPr>
        <w:t xml:space="preserve"> </w:t>
      </w:r>
      <w:r w:rsidRPr="00201992">
        <w:t>pp. 85-97. doi: 10.5195/hcs.2014.163.</w:t>
      </w:r>
    </w:p>
    <w:p w:rsidR="00257DD6" w:rsidRDefault="00257DD6" w:rsidP="00257DD6">
      <w:pPr>
        <w:pStyle w:val="EndNoteBibliography"/>
        <w:spacing w:after="0"/>
        <w:ind w:left="0" w:firstLine="0"/>
      </w:pPr>
    </w:p>
    <w:p w:rsidR="00257DD6" w:rsidRDefault="00257DD6" w:rsidP="00257DD6">
      <w:pPr>
        <w:pStyle w:val="EndNoteBibliography"/>
        <w:spacing w:after="0"/>
        <w:ind w:left="0" w:firstLine="0"/>
      </w:pPr>
    </w:p>
    <w:p w:rsidR="00257DD6" w:rsidRPr="00201992" w:rsidRDefault="00257DD6" w:rsidP="00257DD6">
      <w:pPr>
        <w:pStyle w:val="EndNoteBibliography"/>
        <w:spacing w:after="0"/>
        <w:ind w:left="0" w:firstLine="0"/>
      </w:pPr>
      <w:r w:rsidRPr="00201992">
        <w:lastRenderedPageBreak/>
        <w:t xml:space="preserve">Rao, M. and  Mant, D. (2012) 'Strengthening primary healthcare in India: white paper on opportunities for partnership', </w:t>
      </w:r>
      <w:r w:rsidRPr="00201992">
        <w:rPr>
          <w:i/>
        </w:rPr>
        <w:t>BMJ</w:t>
      </w:r>
      <w:r w:rsidRPr="00201992">
        <w:t>, 344,</w:t>
      </w:r>
      <w:r w:rsidRPr="00201992">
        <w:rPr>
          <w:b/>
        </w:rPr>
        <w:t xml:space="preserve"> </w:t>
      </w:r>
      <w:r w:rsidRPr="00201992">
        <w:t>p. e3151. doi: 10.1136/bmj.e3151.</w:t>
      </w:r>
    </w:p>
    <w:p w:rsidR="00257DD6" w:rsidRDefault="00257DD6" w:rsidP="00257DD6">
      <w:pPr>
        <w:pStyle w:val="EndNoteBibliography"/>
        <w:ind w:left="0" w:firstLine="0"/>
      </w:pPr>
    </w:p>
    <w:p w:rsidR="00257DD6" w:rsidRPr="00257DD6" w:rsidRDefault="00257DD6" w:rsidP="00257DD6">
      <w:pPr>
        <w:pStyle w:val="EndNoteBibliography"/>
        <w:ind w:left="0" w:firstLine="0"/>
      </w:pPr>
      <w:r w:rsidRPr="00201992">
        <w:t xml:space="preserve">Rao, M., Ramachandra, S. S., Bandyopadhyay, S., Chandran, A., Shidhaye, R., Tamisettynarayana, S., . . . Bangdiwala, S. I. (2011) 'Addressing healthcare needs of people living below the poverty line: A rapid assessment of the Andhra Pradesh health insurance scheme', </w:t>
      </w:r>
      <w:r w:rsidRPr="00201992">
        <w:rPr>
          <w:i/>
        </w:rPr>
        <w:t>National Medical Journal of India</w:t>
      </w:r>
      <w:r w:rsidRPr="00201992">
        <w:t>, 24(6),</w:t>
      </w:r>
      <w:r w:rsidRPr="00201992">
        <w:rPr>
          <w:b/>
        </w:rPr>
        <w:t xml:space="preserve"> </w:t>
      </w:r>
      <w:r>
        <w:t>pp. 335-341.</w:t>
      </w:r>
    </w:p>
    <w:p w:rsidR="00257DD6" w:rsidRPr="00244BD3" w:rsidRDefault="00257DD6">
      <w:pPr>
        <w:pStyle w:val="Heading1"/>
        <w:spacing w:after="157"/>
        <w:ind w:left="-5"/>
        <w:sectPr w:rsidR="00257DD6" w:rsidRPr="00244BD3">
          <w:type w:val="continuous"/>
          <w:pgSz w:w="11906" w:h="16838"/>
          <w:pgMar w:top="1440" w:right="1108" w:bottom="1440" w:left="1134" w:header="720" w:footer="720" w:gutter="0"/>
          <w:cols w:num="2" w:space="609"/>
        </w:sectPr>
      </w:pPr>
    </w:p>
    <w:p w:rsidR="00257DD6" w:rsidRDefault="00257DD6">
      <w:pPr>
        <w:pStyle w:val="Heading1"/>
        <w:spacing w:after="157"/>
        <w:ind w:left="-5"/>
      </w:pPr>
    </w:p>
    <w:p w:rsidR="00257DD6" w:rsidRPr="00244BD3" w:rsidRDefault="00257DD6">
      <w:pPr>
        <w:pStyle w:val="Heading1"/>
        <w:spacing w:after="157"/>
        <w:ind w:left="-5"/>
      </w:pPr>
      <w:r w:rsidRPr="00244BD3">
        <w:t>About the Institute for Health and Human Development</w:t>
      </w:r>
    </w:p>
    <w:p w:rsidR="00257DD6" w:rsidRPr="00244BD3" w:rsidRDefault="00257DD6" w:rsidP="00244BD3">
      <w:pPr>
        <w:pStyle w:val="NormalWeb"/>
        <w:rPr>
          <w:rFonts w:ascii="Gill Sans MT" w:eastAsia="Gill Sans MT" w:hAnsi="Gill Sans MT" w:cs="Gill Sans MT"/>
          <w:color w:val="000000"/>
          <w:sz w:val="22"/>
          <w:szCs w:val="22"/>
        </w:rPr>
      </w:pPr>
      <w:r w:rsidRPr="00244BD3">
        <w:rPr>
          <w:rFonts w:ascii="Gill Sans MT" w:eastAsia="Gill Sans MT" w:hAnsi="Gill Sans MT" w:cs="Gill Sans MT"/>
          <w:color w:val="000000"/>
          <w:sz w:val="22"/>
          <w:szCs w:val="22"/>
        </w:rPr>
        <w:t>The Institute of Health and Human Development (IHHD) was set up in 2006 as a centre for UEL’s research activity on health and wellbeing and their social, economic and cultural determinants, and on innovation in services and interventions for health improvement. Our mission is to provide high quality theoretical and applied research, consultancy, knowledge transfer and service innovation through the development and use of new and creative approaches. We aim to deliver world-leading research and development which informs policy, services and interventions that promote people’s health and wellbeing locally, nationally and internationally.</w:t>
      </w:r>
    </w:p>
    <w:p w:rsidR="00257DD6" w:rsidRPr="00244BD3" w:rsidRDefault="00257DD6" w:rsidP="00C46EC7">
      <w:pPr>
        <w:pStyle w:val="NormalWeb"/>
        <w:rPr>
          <w:rFonts w:ascii="Gill Sans MT" w:eastAsia="Gill Sans MT" w:hAnsi="Gill Sans MT" w:cs="Gill Sans MT"/>
          <w:color w:val="000000"/>
          <w:sz w:val="22"/>
          <w:szCs w:val="22"/>
        </w:rPr>
      </w:pPr>
    </w:p>
    <w:p w:rsidR="00257DD6" w:rsidRPr="00244BD3" w:rsidRDefault="00257DD6">
      <w:pPr>
        <w:pStyle w:val="Heading1"/>
        <w:spacing w:after="303"/>
        <w:ind w:left="-5"/>
        <w:sectPr w:rsidR="00257DD6" w:rsidRPr="00244BD3" w:rsidSect="000554BA">
          <w:type w:val="continuous"/>
          <w:pgSz w:w="11906" w:h="16838"/>
          <w:pgMar w:top="1440" w:right="1108" w:bottom="1440" w:left="1134" w:header="720" w:footer="720" w:gutter="0"/>
          <w:cols w:space="609"/>
        </w:sectPr>
      </w:pPr>
    </w:p>
    <w:p w:rsidR="00257DD6" w:rsidRPr="00244BD3" w:rsidRDefault="00257DD6" w:rsidP="000554BA">
      <w:pPr>
        <w:ind w:left="-5" w:right="54"/>
        <w:rPr>
          <w:sz w:val="22"/>
        </w:rPr>
      </w:pPr>
    </w:p>
    <w:p w:rsidR="00257DD6" w:rsidRPr="00244BD3" w:rsidRDefault="00257DD6" w:rsidP="000554BA">
      <w:pPr>
        <w:ind w:left="-5" w:right="54"/>
        <w:rPr>
          <w:sz w:val="22"/>
        </w:rPr>
      </w:pPr>
      <w:r w:rsidRPr="00244BD3">
        <w:rPr>
          <w:sz w:val="22"/>
        </w:rPr>
        <w:t xml:space="preserve">Please cite this work as Rao, M (2013) </w:t>
      </w:r>
      <w:r w:rsidRPr="00244BD3">
        <w:rPr>
          <w:i/>
          <w:sz w:val="22"/>
        </w:rPr>
        <w:t>Influencing health system strengthening in India</w:t>
      </w:r>
      <w:r w:rsidRPr="00244BD3">
        <w:rPr>
          <w:sz w:val="22"/>
        </w:rPr>
        <w:t xml:space="preserve">. London: University of East London, Institute for Health and Human Development. Available at: </w:t>
      </w:r>
      <w:r w:rsidRPr="00244BD3">
        <w:t>XXXXXXXXXXXXX.</w:t>
      </w:r>
      <w:r w:rsidRPr="00244BD3">
        <w:rPr>
          <w:sz w:val="22"/>
        </w:rPr>
        <w:t xml:space="preserve"> </w:t>
      </w:r>
    </w:p>
    <w:p w:rsidR="00622DE0" w:rsidRPr="00257DD6" w:rsidRDefault="00257DD6" w:rsidP="00257DD6">
      <w:pPr>
        <w:spacing w:after="7028"/>
        <w:ind w:left="0" w:right="54" w:firstLine="0"/>
        <w:rPr>
          <w:color w:val="0000FF"/>
          <w:u w:val="single"/>
        </w:rPr>
      </w:pPr>
      <w:r w:rsidRPr="00244BD3">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-4445</wp:posOffset>
            </wp:positionV>
            <wp:extent cx="1352550" cy="473225"/>
            <wp:effectExtent l="0" t="0" r="0" b="3175"/>
            <wp:wrapSquare wrapText="bothSides"/>
            <wp:docPr id="1" name="Picture 1" descr="http://mirrors.creativecommons.org/presskit/buttons/88x31/png/by-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rors.creativecommons.org/presskit/buttons/88x31/png/by-n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2550" cy="473225"/>
                    </a:xfrm>
                    <a:prstGeom prst="rect">
                      <a:avLst/>
                    </a:prstGeom>
                    <a:noFill/>
                    <a:ln>
                      <a:noFill/>
                    </a:ln>
                  </pic:spPr>
                </pic:pic>
              </a:graphicData>
            </a:graphic>
          </wp:anchor>
        </w:drawing>
      </w:r>
      <w:r w:rsidRPr="00244BD3">
        <w:t xml:space="preserve"> This work is licensed under a </w:t>
      </w:r>
      <w:hyperlink r:id="rId16" w:history="1">
        <w:r w:rsidRPr="00244BD3">
          <w:rPr>
            <w:rStyle w:val="Hyperlink"/>
          </w:rPr>
          <w:t>Creative Commons Attribution-</w:t>
        </w:r>
        <w:proofErr w:type="spellStart"/>
        <w:r w:rsidRPr="00244BD3">
          <w:rPr>
            <w:rStyle w:val="Hyperlink"/>
          </w:rPr>
          <w:t>NoDerivatives</w:t>
        </w:r>
        <w:proofErr w:type="spellEnd"/>
        <w:r w:rsidRPr="00244BD3">
          <w:rPr>
            <w:rStyle w:val="Hyperlink"/>
          </w:rPr>
          <w:t xml:space="preserve"> 4.0 International License</w:t>
        </w:r>
      </w:hyperlink>
    </w:p>
    <w:sectPr w:rsidR="00622DE0" w:rsidRPr="00257DD6" w:rsidSect="00BE6064">
      <w:type w:val="continuous"/>
      <w:pgSz w:w="11906" w:h="16838"/>
      <w:pgMar w:top="1440" w:right="1108" w:bottom="1440" w:left="1134" w:header="720" w:footer="720" w:gutter="0"/>
      <w:cols w: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C6" w:rsidRDefault="00B65D94">
    <w:pPr>
      <w:spacing w:after="0" w:line="259" w:lineRule="auto"/>
      <w:ind w:left="0" w:right="0" w:firstLine="0"/>
    </w:pPr>
    <w:r>
      <w:fldChar w:fldCharType="begin"/>
    </w:r>
    <w:r>
      <w:instrText xml:space="preserve"> PAGE   \* MERGEFORMAT </w:instrText>
    </w:r>
    <w:r>
      <w:fldChar w:fldCharType="separate"/>
    </w:r>
    <w:r>
      <w:rPr>
        <w:color w:val="808284"/>
        <w:sz w:val="12"/>
      </w:rPr>
      <w:t>1</w:t>
    </w:r>
    <w:r>
      <w:rPr>
        <w:color w:val="808284"/>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C6" w:rsidRDefault="00B65D94">
    <w:pPr>
      <w:spacing w:after="0" w:line="259" w:lineRule="auto"/>
      <w:ind w:left="0" w:right="0" w:firstLine="0"/>
    </w:pPr>
    <w:r>
      <w:fldChar w:fldCharType="begin"/>
    </w:r>
    <w:r>
      <w:instrText xml:space="preserve"> PAGE   \* MERGEFORMAT </w:instrText>
    </w:r>
    <w:r>
      <w:fldChar w:fldCharType="separate"/>
    </w:r>
    <w:r w:rsidRPr="00B65D94">
      <w:rPr>
        <w:noProof/>
        <w:color w:val="808284"/>
        <w:sz w:val="12"/>
      </w:rPr>
      <w:t>3</w:t>
    </w:r>
    <w:r>
      <w:rPr>
        <w:color w:val="808284"/>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C6" w:rsidRDefault="00B65D94">
    <w:pPr>
      <w:spacing w:after="0" w:line="259" w:lineRule="auto"/>
      <w:ind w:left="0" w:right="0" w:firstLine="0"/>
    </w:pPr>
    <w:r>
      <w:fldChar w:fldCharType="begin"/>
    </w:r>
    <w:r>
      <w:instrText xml:space="preserve"> PAGE   \* MERGEFORMAT </w:instrText>
    </w:r>
    <w:r>
      <w:fldChar w:fldCharType="separate"/>
    </w:r>
    <w:r>
      <w:rPr>
        <w:color w:val="808284"/>
        <w:sz w:val="12"/>
      </w:rPr>
      <w:t>1</w:t>
    </w:r>
    <w:r>
      <w:rPr>
        <w:color w:val="808284"/>
        <w:sz w:val="1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B0CC0"/>
    <w:multiLevelType w:val="hybridMultilevel"/>
    <w:tmpl w:val="6736F09E"/>
    <w:lvl w:ilvl="0" w:tplc="3CDADC3C">
      <w:start w:val="1"/>
      <w:numFmt w:val="decimal"/>
      <w:lvlText w:val="%1."/>
      <w:lvlJc w:val="left"/>
      <w:pPr>
        <w:ind w:left="345" w:hanging="360"/>
      </w:pPr>
      <w:rPr>
        <w:rFonts w:hint="default"/>
        <w:color w:val="0097D1"/>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nsid w:val="40D608CC"/>
    <w:multiLevelType w:val="hybridMultilevel"/>
    <w:tmpl w:val="D2CEA6CC"/>
    <w:lvl w:ilvl="0" w:tplc="9C341548">
      <w:start w:val="1"/>
      <w:numFmt w:val="decimal"/>
      <w:lvlText w:val="%1."/>
      <w:lvlJc w:val="left"/>
      <w:pPr>
        <w:ind w:left="345" w:hanging="360"/>
      </w:pPr>
      <w:rPr>
        <w:rFonts w:hint="default"/>
        <w:color w:val="0097D1"/>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nsid w:val="4EF25E9D"/>
    <w:multiLevelType w:val="hybridMultilevel"/>
    <w:tmpl w:val="FE82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2A00D6"/>
    <w:multiLevelType w:val="hybridMultilevel"/>
    <w:tmpl w:val="703069D0"/>
    <w:lvl w:ilvl="0" w:tplc="BCF20798">
      <w:start w:val="5"/>
      <w:numFmt w:val="decimal"/>
      <w:lvlText w:val="%1."/>
      <w:lvlJc w:val="left"/>
      <w:pPr>
        <w:ind w:left="184"/>
      </w:pPr>
      <w:rPr>
        <w:rFonts w:ascii="Gill Sans MT" w:eastAsia="Gill Sans MT" w:hAnsi="Gill Sans MT" w:cs="Gill Sans MT"/>
        <w:b w:val="0"/>
        <w:i w:val="0"/>
        <w:strike w:val="0"/>
        <w:dstrike w:val="0"/>
        <w:color w:val="0097D1"/>
        <w:sz w:val="21"/>
        <w:szCs w:val="21"/>
        <w:u w:val="none" w:color="000000"/>
        <w:bdr w:val="none" w:sz="0" w:space="0" w:color="auto"/>
        <w:shd w:val="clear" w:color="auto" w:fill="auto"/>
        <w:vertAlign w:val="baseline"/>
      </w:rPr>
    </w:lvl>
    <w:lvl w:ilvl="1" w:tplc="C5782140">
      <w:start w:val="1"/>
      <w:numFmt w:val="lowerLetter"/>
      <w:lvlText w:val="%2"/>
      <w:lvlJc w:val="left"/>
      <w:pPr>
        <w:ind w:left="1080"/>
      </w:pPr>
      <w:rPr>
        <w:rFonts w:ascii="Gill Sans MT" w:eastAsia="Gill Sans MT" w:hAnsi="Gill Sans MT" w:cs="Gill Sans MT"/>
        <w:b w:val="0"/>
        <w:i w:val="0"/>
        <w:strike w:val="0"/>
        <w:dstrike w:val="0"/>
        <w:color w:val="0097D1"/>
        <w:sz w:val="21"/>
        <w:szCs w:val="21"/>
        <w:u w:val="none" w:color="000000"/>
        <w:bdr w:val="none" w:sz="0" w:space="0" w:color="auto"/>
        <w:shd w:val="clear" w:color="auto" w:fill="auto"/>
        <w:vertAlign w:val="baseline"/>
      </w:rPr>
    </w:lvl>
    <w:lvl w:ilvl="2" w:tplc="038A167A">
      <w:start w:val="1"/>
      <w:numFmt w:val="lowerRoman"/>
      <w:lvlText w:val="%3"/>
      <w:lvlJc w:val="left"/>
      <w:pPr>
        <w:ind w:left="1800"/>
      </w:pPr>
      <w:rPr>
        <w:rFonts w:ascii="Gill Sans MT" w:eastAsia="Gill Sans MT" w:hAnsi="Gill Sans MT" w:cs="Gill Sans MT"/>
        <w:b w:val="0"/>
        <w:i w:val="0"/>
        <w:strike w:val="0"/>
        <w:dstrike w:val="0"/>
        <w:color w:val="0097D1"/>
        <w:sz w:val="21"/>
        <w:szCs w:val="21"/>
        <w:u w:val="none" w:color="000000"/>
        <w:bdr w:val="none" w:sz="0" w:space="0" w:color="auto"/>
        <w:shd w:val="clear" w:color="auto" w:fill="auto"/>
        <w:vertAlign w:val="baseline"/>
      </w:rPr>
    </w:lvl>
    <w:lvl w:ilvl="3" w:tplc="83446A38">
      <w:start w:val="1"/>
      <w:numFmt w:val="decimal"/>
      <w:lvlText w:val="%4"/>
      <w:lvlJc w:val="left"/>
      <w:pPr>
        <w:ind w:left="2520"/>
      </w:pPr>
      <w:rPr>
        <w:rFonts w:ascii="Gill Sans MT" w:eastAsia="Gill Sans MT" w:hAnsi="Gill Sans MT" w:cs="Gill Sans MT"/>
        <w:b w:val="0"/>
        <w:i w:val="0"/>
        <w:strike w:val="0"/>
        <w:dstrike w:val="0"/>
        <w:color w:val="0097D1"/>
        <w:sz w:val="21"/>
        <w:szCs w:val="21"/>
        <w:u w:val="none" w:color="000000"/>
        <w:bdr w:val="none" w:sz="0" w:space="0" w:color="auto"/>
        <w:shd w:val="clear" w:color="auto" w:fill="auto"/>
        <w:vertAlign w:val="baseline"/>
      </w:rPr>
    </w:lvl>
    <w:lvl w:ilvl="4" w:tplc="3C6EB944">
      <w:start w:val="1"/>
      <w:numFmt w:val="lowerLetter"/>
      <w:lvlText w:val="%5"/>
      <w:lvlJc w:val="left"/>
      <w:pPr>
        <w:ind w:left="3240"/>
      </w:pPr>
      <w:rPr>
        <w:rFonts w:ascii="Gill Sans MT" w:eastAsia="Gill Sans MT" w:hAnsi="Gill Sans MT" w:cs="Gill Sans MT"/>
        <w:b w:val="0"/>
        <w:i w:val="0"/>
        <w:strike w:val="0"/>
        <w:dstrike w:val="0"/>
        <w:color w:val="0097D1"/>
        <w:sz w:val="21"/>
        <w:szCs w:val="21"/>
        <w:u w:val="none" w:color="000000"/>
        <w:bdr w:val="none" w:sz="0" w:space="0" w:color="auto"/>
        <w:shd w:val="clear" w:color="auto" w:fill="auto"/>
        <w:vertAlign w:val="baseline"/>
      </w:rPr>
    </w:lvl>
    <w:lvl w:ilvl="5" w:tplc="133071CE">
      <w:start w:val="1"/>
      <w:numFmt w:val="lowerRoman"/>
      <w:lvlText w:val="%6"/>
      <w:lvlJc w:val="left"/>
      <w:pPr>
        <w:ind w:left="3960"/>
      </w:pPr>
      <w:rPr>
        <w:rFonts w:ascii="Gill Sans MT" w:eastAsia="Gill Sans MT" w:hAnsi="Gill Sans MT" w:cs="Gill Sans MT"/>
        <w:b w:val="0"/>
        <w:i w:val="0"/>
        <w:strike w:val="0"/>
        <w:dstrike w:val="0"/>
        <w:color w:val="0097D1"/>
        <w:sz w:val="21"/>
        <w:szCs w:val="21"/>
        <w:u w:val="none" w:color="000000"/>
        <w:bdr w:val="none" w:sz="0" w:space="0" w:color="auto"/>
        <w:shd w:val="clear" w:color="auto" w:fill="auto"/>
        <w:vertAlign w:val="baseline"/>
      </w:rPr>
    </w:lvl>
    <w:lvl w:ilvl="6" w:tplc="7902E22C">
      <w:start w:val="1"/>
      <w:numFmt w:val="decimal"/>
      <w:lvlText w:val="%7"/>
      <w:lvlJc w:val="left"/>
      <w:pPr>
        <w:ind w:left="4680"/>
      </w:pPr>
      <w:rPr>
        <w:rFonts w:ascii="Gill Sans MT" w:eastAsia="Gill Sans MT" w:hAnsi="Gill Sans MT" w:cs="Gill Sans MT"/>
        <w:b w:val="0"/>
        <w:i w:val="0"/>
        <w:strike w:val="0"/>
        <w:dstrike w:val="0"/>
        <w:color w:val="0097D1"/>
        <w:sz w:val="21"/>
        <w:szCs w:val="21"/>
        <w:u w:val="none" w:color="000000"/>
        <w:bdr w:val="none" w:sz="0" w:space="0" w:color="auto"/>
        <w:shd w:val="clear" w:color="auto" w:fill="auto"/>
        <w:vertAlign w:val="baseline"/>
      </w:rPr>
    </w:lvl>
    <w:lvl w:ilvl="7" w:tplc="3504246C">
      <w:start w:val="1"/>
      <w:numFmt w:val="lowerLetter"/>
      <w:lvlText w:val="%8"/>
      <w:lvlJc w:val="left"/>
      <w:pPr>
        <w:ind w:left="5400"/>
      </w:pPr>
      <w:rPr>
        <w:rFonts w:ascii="Gill Sans MT" w:eastAsia="Gill Sans MT" w:hAnsi="Gill Sans MT" w:cs="Gill Sans MT"/>
        <w:b w:val="0"/>
        <w:i w:val="0"/>
        <w:strike w:val="0"/>
        <w:dstrike w:val="0"/>
        <w:color w:val="0097D1"/>
        <w:sz w:val="21"/>
        <w:szCs w:val="21"/>
        <w:u w:val="none" w:color="000000"/>
        <w:bdr w:val="none" w:sz="0" w:space="0" w:color="auto"/>
        <w:shd w:val="clear" w:color="auto" w:fill="auto"/>
        <w:vertAlign w:val="baseline"/>
      </w:rPr>
    </w:lvl>
    <w:lvl w:ilvl="8" w:tplc="C924E244">
      <w:start w:val="1"/>
      <w:numFmt w:val="lowerRoman"/>
      <w:lvlText w:val="%9"/>
      <w:lvlJc w:val="left"/>
      <w:pPr>
        <w:ind w:left="6120"/>
      </w:pPr>
      <w:rPr>
        <w:rFonts w:ascii="Gill Sans MT" w:eastAsia="Gill Sans MT" w:hAnsi="Gill Sans MT" w:cs="Gill Sans MT"/>
        <w:b w:val="0"/>
        <w:i w:val="0"/>
        <w:strike w:val="0"/>
        <w:dstrike w:val="0"/>
        <w:color w:val="0097D1"/>
        <w:sz w:val="21"/>
        <w:szCs w:val="21"/>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57DD6"/>
    <w:rsid w:val="00257DD6"/>
    <w:rsid w:val="002F18A6"/>
    <w:rsid w:val="00590D17"/>
    <w:rsid w:val="00622DE0"/>
    <w:rsid w:val="00AA5F9D"/>
    <w:rsid w:val="00B65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8B6E8-525A-49A9-A525-8A13E852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DD6"/>
    <w:pPr>
      <w:spacing w:after="287" w:line="270" w:lineRule="auto"/>
      <w:ind w:left="10" w:right="175" w:hanging="10"/>
    </w:pPr>
    <w:rPr>
      <w:rFonts w:ascii="Gill Sans MT" w:eastAsia="Gill Sans MT" w:hAnsi="Gill Sans MT" w:cs="Gill Sans MT"/>
      <w:color w:val="000000"/>
      <w:sz w:val="21"/>
      <w:lang w:eastAsia="en-GB"/>
    </w:rPr>
  </w:style>
  <w:style w:type="paragraph" w:styleId="Heading1">
    <w:name w:val="heading 1"/>
    <w:next w:val="Normal"/>
    <w:link w:val="Heading1Char"/>
    <w:uiPriority w:val="9"/>
    <w:unhideWhenUsed/>
    <w:qFormat/>
    <w:rsid w:val="00257DD6"/>
    <w:pPr>
      <w:keepNext/>
      <w:keepLines/>
      <w:spacing w:after="213"/>
      <w:ind w:left="10" w:hanging="10"/>
      <w:outlineLvl w:val="0"/>
    </w:pPr>
    <w:rPr>
      <w:rFonts w:ascii="Gill Sans MT" w:eastAsia="Gill Sans MT" w:hAnsi="Gill Sans MT" w:cs="Gill Sans MT"/>
      <w:color w:val="0097D1"/>
      <w:sz w:val="28"/>
      <w:lang w:eastAsia="en-GB"/>
    </w:rPr>
  </w:style>
  <w:style w:type="paragraph" w:styleId="Heading2">
    <w:name w:val="heading 2"/>
    <w:next w:val="Normal"/>
    <w:link w:val="Heading2Char"/>
    <w:uiPriority w:val="9"/>
    <w:unhideWhenUsed/>
    <w:qFormat/>
    <w:rsid w:val="00257DD6"/>
    <w:pPr>
      <w:keepNext/>
      <w:keepLines/>
      <w:spacing w:after="18"/>
      <w:ind w:left="10" w:hanging="10"/>
      <w:outlineLvl w:val="1"/>
    </w:pPr>
    <w:rPr>
      <w:rFonts w:ascii="Gill Sans MT" w:eastAsia="Gill Sans MT" w:hAnsi="Gill Sans MT" w:cs="Gill Sans MT"/>
      <w:b/>
      <w:color w:val="000000"/>
      <w:sz w:val="21"/>
      <w:lang w:eastAsia="en-GB"/>
    </w:rPr>
  </w:style>
  <w:style w:type="paragraph" w:styleId="Heading3">
    <w:name w:val="heading 3"/>
    <w:basedOn w:val="Normal"/>
    <w:next w:val="Normal"/>
    <w:link w:val="Heading3Char"/>
    <w:uiPriority w:val="9"/>
    <w:unhideWhenUsed/>
    <w:qFormat/>
    <w:rsid w:val="00257D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57D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rsid w:val="00257D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7DD6"/>
  </w:style>
  <w:style w:type="character" w:customStyle="1" w:styleId="Heading1Char">
    <w:name w:val="Heading 1 Char"/>
    <w:link w:val="Heading1"/>
    <w:rsid w:val="00257DD6"/>
    <w:rPr>
      <w:rFonts w:ascii="Gill Sans MT" w:eastAsia="Gill Sans MT" w:hAnsi="Gill Sans MT" w:cs="Gill Sans MT"/>
      <w:color w:val="0097D1"/>
      <w:sz w:val="28"/>
      <w:lang w:eastAsia="en-GB"/>
    </w:rPr>
  </w:style>
  <w:style w:type="character" w:customStyle="1" w:styleId="Heading2Char">
    <w:name w:val="Heading 2 Char"/>
    <w:link w:val="Heading2"/>
    <w:uiPriority w:val="9"/>
    <w:rsid w:val="00257DD6"/>
    <w:rPr>
      <w:rFonts w:ascii="Gill Sans MT" w:eastAsia="Gill Sans MT" w:hAnsi="Gill Sans MT" w:cs="Gill Sans MT"/>
      <w:b/>
      <w:color w:val="000000"/>
      <w:sz w:val="21"/>
      <w:lang w:eastAsia="en-GB"/>
    </w:rPr>
  </w:style>
  <w:style w:type="character" w:customStyle="1" w:styleId="Heading3Char">
    <w:name w:val="Heading 3 Char"/>
    <w:basedOn w:val="DefaultParagraphFont"/>
    <w:link w:val="Heading3"/>
    <w:uiPriority w:val="9"/>
    <w:rsid w:val="00257DD6"/>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257DD6"/>
    <w:rPr>
      <w:rFonts w:asciiTheme="majorHAnsi" w:eastAsiaTheme="majorEastAsia" w:hAnsiTheme="majorHAnsi" w:cstheme="majorBidi"/>
      <w:i/>
      <w:iCs/>
      <w:color w:val="2E74B5" w:themeColor="accent1" w:themeShade="BF"/>
      <w:sz w:val="21"/>
      <w:lang w:eastAsia="en-GB"/>
    </w:rPr>
  </w:style>
  <w:style w:type="paragraph" w:customStyle="1" w:styleId="footnotedescription">
    <w:name w:val="footnote description"/>
    <w:next w:val="Normal"/>
    <w:link w:val="footnotedescriptionChar"/>
    <w:hidden/>
    <w:rsid w:val="00257DD6"/>
    <w:pPr>
      <w:spacing w:after="141" w:line="264" w:lineRule="auto"/>
    </w:pPr>
    <w:rPr>
      <w:rFonts w:ascii="Gill Sans MT" w:eastAsia="Gill Sans MT" w:hAnsi="Gill Sans MT" w:cs="Gill Sans MT"/>
      <w:color w:val="6D6E70"/>
      <w:sz w:val="14"/>
      <w:lang w:eastAsia="en-GB"/>
    </w:rPr>
  </w:style>
  <w:style w:type="character" w:customStyle="1" w:styleId="footnotedescriptionChar">
    <w:name w:val="footnote description Char"/>
    <w:link w:val="footnotedescription"/>
    <w:rsid w:val="00257DD6"/>
    <w:rPr>
      <w:rFonts w:ascii="Gill Sans MT" w:eastAsia="Gill Sans MT" w:hAnsi="Gill Sans MT" w:cs="Gill Sans MT"/>
      <w:color w:val="6D6E70"/>
      <w:sz w:val="14"/>
      <w:lang w:eastAsia="en-GB"/>
    </w:rPr>
  </w:style>
  <w:style w:type="character" w:customStyle="1" w:styleId="footnotemark">
    <w:name w:val="footnote mark"/>
    <w:hidden/>
    <w:rsid w:val="00257DD6"/>
    <w:rPr>
      <w:rFonts w:ascii="Gill Sans MT" w:eastAsia="Gill Sans MT" w:hAnsi="Gill Sans MT" w:cs="Gill Sans MT"/>
      <w:color w:val="6D6E70"/>
      <w:sz w:val="14"/>
      <w:vertAlign w:val="superscript"/>
    </w:rPr>
  </w:style>
  <w:style w:type="paragraph" w:styleId="NormalWeb">
    <w:name w:val="Normal (Web)"/>
    <w:basedOn w:val="Normal"/>
    <w:uiPriority w:val="99"/>
    <w:semiHidden/>
    <w:unhideWhenUsed/>
    <w:rsid w:val="00257DD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257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DD6"/>
    <w:rPr>
      <w:rFonts w:ascii="Segoe UI" w:eastAsia="Gill Sans MT" w:hAnsi="Segoe UI" w:cs="Segoe UI"/>
      <w:color w:val="000000"/>
      <w:sz w:val="18"/>
      <w:szCs w:val="18"/>
      <w:lang w:eastAsia="en-GB"/>
    </w:rPr>
  </w:style>
  <w:style w:type="paragraph" w:customStyle="1" w:styleId="well-dl">
    <w:name w:val="well-dl"/>
    <w:basedOn w:val="Normal"/>
    <w:link w:val="well-dlChar"/>
    <w:rsid w:val="00257DD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personname">
    <w:name w:val="person_name"/>
    <w:basedOn w:val="DefaultParagraphFont"/>
    <w:rsid w:val="00257DD6"/>
  </w:style>
  <w:style w:type="character" w:styleId="Emphasis">
    <w:name w:val="Emphasis"/>
    <w:basedOn w:val="DefaultParagraphFont"/>
    <w:uiPriority w:val="20"/>
    <w:qFormat/>
    <w:rsid w:val="00257DD6"/>
    <w:rPr>
      <w:i/>
      <w:iCs/>
    </w:rPr>
  </w:style>
  <w:style w:type="character" w:customStyle="1" w:styleId="doi">
    <w:name w:val="doi"/>
    <w:basedOn w:val="DefaultParagraphFont"/>
    <w:rsid w:val="00257DD6"/>
  </w:style>
  <w:style w:type="character" w:styleId="Hyperlink">
    <w:name w:val="Hyperlink"/>
    <w:basedOn w:val="DefaultParagraphFont"/>
    <w:uiPriority w:val="99"/>
    <w:unhideWhenUsed/>
    <w:rsid w:val="00257DD6"/>
    <w:rPr>
      <w:color w:val="0000FF"/>
      <w:u w:val="single"/>
    </w:rPr>
  </w:style>
  <w:style w:type="paragraph" w:styleId="ListParagraph">
    <w:name w:val="List Paragraph"/>
    <w:basedOn w:val="Normal"/>
    <w:uiPriority w:val="34"/>
    <w:qFormat/>
    <w:rsid w:val="00257DD6"/>
    <w:pPr>
      <w:ind w:left="720"/>
      <w:contextualSpacing/>
    </w:pPr>
  </w:style>
  <w:style w:type="character" w:styleId="Strong">
    <w:name w:val="Strong"/>
    <w:basedOn w:val="DefaultParagraphFont"/>
    <w:uiPriority w:val="22"/>
    <w:qFormat/>
    <w:rsid w:val="00257DD6"/>
    <w:rPr>
      <w:b/>
      <w:bCs/>
    </w:rPr>
  </w:style>
  <w:style w:type="paragraph" w:customStyle="1" w:styleId="EndNoteBibliographyTitle">
    <w:name w:val="EndNote Bibliography Title"/>
    <w:basedOn w:val="Normal"/>
    <w:link w:val="EndNoteBibliographyTitleChar"/>
    <w:rsid w:val="00257DD6"/>
    <w:pPr>
      <w:spacing w:after="0"/>
      <w:jc w:val="center"/>
    </w:pPr>
    <w:rPr>
      <w:noProof/>
      <w:sz w:val="20"/>
      <w:szCs w:val="24"/>
    </w:rPr>
  </w:style>
  <w:style w:type="character" w:customStyle="1" w:styleId="well-dlChar">
    <w:name w:val="well-dl Char"/>
    <w:basedOn w:val="DefaultParagraphFont"/>
    <w:link w:val="well-dl"/>
    <w:rsid w:val="00257DD6"/>
    <w:rPr>
      <w:rFonts w:ascii="Times New Roman" w:eastAsia="Times New Roman" w:hAnsi="Times New Roman" w:cs="Times New Roman"/>
      <w:sz w:val="24"/>
      <w:szCs w:val="24"/>
      <w:lang w:eastAsia="en-GB"/>
    </w:rPr>
  </w:style>
  <w:style w:type="character" w:customStyle="1" w:styleId="EndNoteBibliographyTitleChar">
    <w:name w:val="EndNote Bibliography Title Char"/>
    <w:basedOn w:val="well-dlChar"/>
    <w:link w:val="EndNoteBibliographyTitle"/>
    <w:rsid w:val="00257DD6"/>
    <w:rPr>
      <w:rFonts w:ascii="Gill Sans MT" w:eastAsia="Gill Sans MT" w:hAnsi="Gill Sans MT" w:cs="Gill Sans MT"/>
      <w:noProof/>
      <w:color w:val="000000"/>
      <w:sz w:val="20"/>
      <w:szCs w:val="24"/>
      <w:lang w:eastAsia="en-GB"/>
    </w:rPr>
  </w:style>
  <w:style w:type="paragraph" w:customStyle="1" w:styleId="EndNoteBibliography">
    <w:name w:val="EndNote Bibliography"/>
    <w:basedOn w:val="Normal"/>
    <w:link w:val="EndNoteBibliographyChar"/>
    <w:rsid w:val="00257DD6"/>
    <w:pPr>
      <w:spacing w:line="240" w:lineRule="auto"/>
    </w:pPr>
    <w:rPr>
      <w:noProof/>
      <w:sz w:val="20"/>
      <w:szCs w:val="24"/>
    </w:rPr>
  </w:style>
  <w:style w:type="character" w:customStyle="1" w:styleId="EndNoteBibliographyChar">
    <w:name w:val="EndNote Bibliography Char"/>
    <w:basedOn w:val="well-dlChar"/>
    <w:link w:val="EndNoteBibliography"/>
    <w:rsid w:val="00257DD6"/>
    <w:rPr>
      <w:rFonts w:ascii="Gill Sans MT" w:eastAsia="Gill Sans MT" w:hAnsi="Gill Sans MT" w:cs="Gill Sans MT"/>
      <w:noProof/>
      <w:color w:val="000000"/>
      <w:sz w:val="20"/>
      <w:szCs w:val="24"/>
      <w:lang w:eastAsia="en-GB"/>
    </w:rPr>
  </w:style>
  <w:style w:type="paragraph" w:styleId="Quote">
    <w:name w:val="Quote"/>
    <w:basedOn w:val="Normal"/>
    <w:next w:val="Normal"/>
    <w:link w:val="QuoteChar"/>
    <w:uiPriority w:val="29"/>
    <w:qFormat/>
    <w:rsid w:val="00AA5F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5F9D"/>
    <w:rPr>
      <w:rFonts w:ascii="Gill Sans MT" w:eastAsia="Gill Sans MT" w:hAnsi="Gill Sans MT" w:cs="Gill Sans MT"/>
      <w:i/>
      <w:iCs/>
      <w:color w:val="404040" w:themeColor="text1" w:themeTint="BF"/>
      <w:sz w:val="21"/>
      <w:lang w:eastAsia="en-GB"/>
    </w:rPr>
  </w:style>
  <w:style w:type="character" w:styleId="SubtleReference">
    <w:name w:val="Subtle Reference"/>
    <w:basedOn w:val="DefaultParagraphFont"/>
    <w:uiPriority w:val="31"/>
    <w:qFormat/>
    <w:rsid w:val="00AA5F9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dx.doi.org/10.1136/bmj.e31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ses/by-nd/4.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el.ac.uk/ihhd/"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el.ac.uk/hsb/staff/malar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46E84-74E8-4F47-8E85-9676BFF1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Grace</dc:creator>
  <cp:keywords/>
  <dc:description/>
  <cp:lastModifiedBy>Stephen Grace</cp:lastModifiedBy>
  <cp:revision>3</cp:revision>
  <dcterms:created xsi:type="dcterms:W3CDTF">2014-12-10T15:39:00Z</dcterms:created>
  <dcterms:modified xsi:type="dcterms:W3CDTF">2014-12-10T16:21:00Z</dcterms:modified>
</cp:coreProperties>
</file>