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88" w14:textId="77777777" w:rsidR="00DD0657" w:rsidRPr="00260E01" w:rsidRDefault="00DD0657" w:rsidP="00E07646">
      <w:pPr>
        <w:spacing w:before="240" w:after="24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Supplementary Materials</w:t>
      </w:r>
    </w:p>
    <w:p w14:paraId="27BA308A" w14:textId="77777777" w:rsidR="00DD0657" w:rsidRDefault="00DD0657" w:rsidP="00DD0657">
      <w:pPr>
        <w:spacing w:before="240" w:after="240" w:line="48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S4. Additional graphs</w:t>
      </w:r>
    </w:p>
    <w:p w14:paraId="2CE4D74E" w14:textId="7582F1CF" w:rsidR="00C625A3" w:rsidRDefault="00B04513" w:rsidP="00DD0657">
      <w:pPr>
        <w:spacing w:before="240" w:after="240" w:line="480" w:lineRule="auto"/>
      </w:pPr>
      <w:r>
        <w:rPr>
          <w:noProof/>
        </w:rPr>
        <w:drawing>
          <wp:inline distT="0" distB="0" distL="0" distR="0" wp14:anchorId="3B837794" wp14:editId="2F848FEB">
            <wp:extent cx="5943600" cy="3370580"/>
            <wp:effectExtent l="0" t="0" r="0" b="1270"/>
            <wp:docPr id="1" name="Picture 1" descr="Graphical user interface,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chart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8FA5D" w14:textId="702B4789" w:rsidR="003B2483" w:rsidRPr="00F71B86" w:rsidRDefault="00F71B86" w:rsidP="00DD0657">
      <w:pPr>
        <w:spacing w:before="240" w:after="240" w:line="480" w:lineRule="auto"/>
      </w:pPr>
      <w:r w:rsidRPr="00F71B86">
        <w:lastRenderedPageBreak/>
        <w:t xml:space="preserve"> </w:t>
      </w:r>
      <w:r w:rsidR="0013503A">
        <w:rPr>
          <w:noProof/>
        </w:rPr>
        <w:drawing>
          <wp:inline distT="0" distB="0" distL="0" distR="0" wp14:anchorId="47643A9F" wp14:editId="0916FF8D">
            <wp:extent cx="5943600" cy="3370580"/>
            <wp:effectExtent l="0" t="0" r="0" b="1270"/>
            <wp:docPr id="2" name="Picture 2" descr="Graphical user interface, chart, application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chart, application, scatter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6F69F" w14:textId="6A7F9735" w:rsidR="00940AB2" w:rsidRDefault="00C46FCD" w:rsidP="001C2FAE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3BD8CC9B" wp14:editId="15108FFC">
            <wp:extent cx="5943600" cy="3370580"/>
            <wp:effectExtent l="0" t="0" r="0" b="1270"/>
            <wp:docPr id="3" name="Picture 3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18B6" w14:textId="5BC0BE27" w:rsidR="002A2F69" w:rsidRDefault="002A2F69" w:rsidP="001C2FAE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 wp14:anchorId="0C4BB3D1" wp14:editId="293997CB">
            <wp:extent cx="5943600" cy="3370580"/>
            <wp:effectExtent l="0" t="0" r="0" b="1270"/>
            <wp:docPr id="9" name="Picture 9" descr="Graphical user interface,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ch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8BC0D" w14:textId="077B5E29" w:rsidR="00C625A3" w:rsidRPr="001C2FAE" w:rsidRDefault="00C625A3" w:rsidP="001C2FAE">
      <w:pPr>
        <w:spacing w:before="240" w:after="24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Figure 1:</w:t>
      </w:r>
      <w:r w:rsidR="00B944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2FAE">
        <w:rPr>
          <w:rFonts w:ascii="Times New Roman" w:eastAsia="Times New Roman" w:hAnsi="Times New Roman" w:cs="Times New Roman"/>
          <w:sz w:val="24"/>
          <w:szCs w:val="24"/>
        </w:rPr>
        <w:t>Scatterplots illustrating Spearman’s correlation results. a) associations between infant-adult theta cross-PLVs, infant-adult theta PLVs and infant and adult theta power in the resting state condition. b) associations between infant-adult theta cross-PLVs,</w:t>
      </w:r>
      <w:r w:rsidR="001C2FAE" w:rsidRPr="009C13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2FAE">
        <w:rPr>
          <w:rFonts w:ascii="Times New Roman" w:eastAsia="Times New Roman" w:hAnsi="Times New Roman" w:cs="Times New Roman"/>
          <w:sz w:val="24"/>
          <w:szCs w:val="24"/>
        </w:rPr>
        <w:t xml:space="preserve">infant-adult theta PLVs and infant and adult theta power in the free play condition. c) associations between infant-adult alpha cross-PLVs, infant-adult alpha PLVs and infant and adult alpha power in </w:t>
      </w:r>
      <w:r w:rsidR="0068114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C2FAE">
        <w:rPr>
          <w:rFonts w:ascii="Times New Roman" w:eastAsia="Times New Roman" w:hAnsi="Times New Roman" w:cs="Times New Roman"/>
          <w:sz w:val="24"/>
          <w:szCs w:val="24"/>
        </w:rPr>
        <w:t>resting state condition. d) associations between infant-adult alpha cross-PLVs, infant-adult alpha PLVs and infant and adult alpha power in the free play condition.</w:t>
      </w:r>
    </w:p>
    <w:p w14:paraId="09846F52" w14:textId="77777777" w:rsidR="00DD0657" w:rsidRPr="00260E01" w:rsidRDefault="00DD0657" w:rsidP="00DD0657">
      <w:pPr>
        <w:spacing w:before="240" w:after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0E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S5. Data used in the final analyses </w:t>
      </w:r>
    </w:p>
    <w:p w14:paraId="162B43F4" w14:textId="77223B38" w:rsidR="001335B6" w:rsidRPr="00F71B86" w:rsidRDefault="00DD0657" w:rsidP="00F71B86">
      <w:pPr>
        <w:spacing w:before="240"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0E01">
        <w:rPr>
          <w:rFonts w:ascii="Times New Roman" w:eastAsia="Times New Roman" w:hAnsi="Times New Roman" w:cs="Times New Roman"/>
          <w:color w:val="000000"/>
          <w:sz w:val="24"/>
          <w:szCs w:val="24"/>
        </w:rPr>
        <w:t>We will make data publicly available upon publication.</w:t>
      </w:r>
    </w:p>
    <w:sectPr w:rsidR="001335B6" w:rsidRPr="00F71B86" w:rsidSect="00013BE1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3AD50" w14:textId="77777777" w:rsidR="00405B6E" w:rsidRDefault="00405B6E">
      <w:pPr>
        <w:spacing w:after="0" w:line="240" w:lineRule="auto"/>
      </w:pPr>
      <w:r>
        <w:separator/>
      </w:r>
    </w:p>
  </w:endnote>
  <w:endnote w:type="continuationSeparator" w:id="0">
    <w:p w14:paraId="1537D810" w14:textId="77777777" w:rsidR="00405B6E" w:rsidRDefault="00405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9248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33AB7C" w14:textId="77777777" w:rsidR="009E3392" w:rsidRDefault="00E076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A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C46B37F" w14:textId="77777777" w:rsidR="009E3392" w:rsidRDefault="00405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16890" w14:textId="77777777" w:rsidR="00405B6E" w:rsidRDefault="00405B6E">
      <w:pPr>
        <w:spacing w:after="0" w:line="240" w:lineRule="auto"/>
      </w:pPr>
      <w:r>
        <w:separator/>
      </w:r>
    </w:p>
  </w:footnote>
  <w:footnote w:type="continuationSeparator" w:id="0">
    <w:p w14:paraId="40C680DB" w14:textId="77777777" w:rsidR="00405B6E" w:rsidRDefault="00405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542D" w14:textId="77777777" w:rsidR="00013BE1" w:rsidRDefault="00E07646" w:rsidP="00013BE1">
    <w:pPr>
      <w:pStyle w:val="Header"/>
    </w:pPr>
    <w:r>
      <w:tab/>
    </w:r>
    <w:r>
      <w:tab/>
      <w:t>DEEP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7"/>
    <w:rsid w:val="00062535"/>
    <w:rsid w:val="000E08E0"/>
    <w:rsid w:val="001335B6"/>
    <w:rsid w:val="0013503A"/>
    <w:rsid w:val="00162AA7"/>
    <w:rsid w:val="001B546C"/>
    <w:rsid w:val="001C2FAE"/>
    <w:rsid w:val="002363D6"/>
    <w:rsid w:val="002A2F69"/>
    <w:rsid w:val="0039191B"/>
    <w:rsid w:val="003B2483"/>
    <w:rsid w:val="00405B6E"/>
    <w:rsid w:val="00406CF2"/>
    <w:rsid w:val="004E7ADA"/>
    <w:rsid w:val="00681144"/>
    <w:rsid w:val="007B5635"/>
    <w:rsid w:val="00895CD0"/>
    <w:rsid w:val="00940AB2"/>
    <w:rsid w:val="00950D4B"/>
    <w:rsid w:val="00990CD7"/>
    <w:rsid w:val="00A42E9A"/>
    <w:rsid w:val="00B04513"/>
    <w:rsid w:val="00B94436"/>
    <w:rsid w:val="00C46FCD"/>
    <w:rsid w:val="00C625A3"/>
    <w:rsid w:val="00C625CE"/>
    <w:rsid w:val="00DD0657"/>
    <w:rsid w:val="00DD1770"/>
    <w:rsid w:val="00DE153C"/>
    <w:rsid w:val="00E07646"/>
    <w:rsid w:val="00E15473"/>
    <w:rsid w:val="00EF75F4"/>
    <w:rsid w:val="00F71B86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875A"/>
  <w15:docId w15:val="{54FEE52B-2F77-4E55-BF8A-CE3A36E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657"/>
  </w:style>
  <w:style w:type="paragraph" w:styleId="Footer">
    <w:name w:val="footer"/>
    <w:basedOn w:val="Normal"/>
    <w:link w:val="FooterChar"/>
    <w:uiPriority w:val="99"/>
    <w:unhideWhenUsed/>
    <w:rsid w:val="00DD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657"/>
  </w:style>
  <w:style w:type="paragraph" w:styleId="BalloonText">
    <w:name w:val="Balloon Text"/>
    <w:basedOn w:val="Normal"/>
    <w:link w:val="BalloonTextChar"/>
    <w:uiPriority w:val="99"/>
    <w:semiHidden/>
    <w:unhideWhenUsed/>
    <w:rsid w:val="00C6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Leo C Watkinson</cp:lastModifiedBy>
  <cp:revision>2</cp:revision>
  <dcterms:created xsi:type="dcterms:W3CDTF">2022-04-12T12:04:00Z</dcterms:created>
  <dcterms:modified xsi:type="dcterms:W3CDTF">2022-04-12T12:04:00Z</dcterms:modified>
</cp:coreProperties>
</file>