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ED491" w14:textId="480A5A79" w:rsidR="005427F5" w:rsidRPr="00C72E1C" w:rsidRDefault="00F22634" w:rsidP="00495992">
      <w:pPr>
        <w:spacing w:line="480" w:lineRule="auto"/>
        <w:rPr>
          <w:rFonts w:ascii="Arial" w:hAnsi="Arial" w:cs="Arial"/>
          <w:b/>
          <w:lang w:val="en-US"/>
        </w:rPr>
      </w:pPr>
      <w:proofErr w:type="gramStart"/>
      <w:r>
        <w:rPr>
          <w:rFonts w:ascii="Arial" w:hAnsi="Arial" w:cs="Arial"/>
          <w:b/>
          <w:lang w:val="en-US"/>
        </w:rPr>
        <w:t>Supplementary</w:t>
      </w:r>
      <w:r w:rsidR="005427F5" w:rsidRPr="00495992">
        <w:rPr>
          <w:rFonts w:ascii="Arial" w:hAnsi="Arial" w:cs="Arial"/>
          <w:b/>
          <w:lang w:val="en-US"/>
        </w:rPr>
        <w:t xml:space="preserve"> </w:t>
      </w:r>
      <w:r w:rsidR="006B4AED">
        <w:rPr>
          <w:rFonts w:ascii="Arial" w:hAnsi="Arial" w:cs="Arial"/>
          <w:b/>
          <w:lang w:val="en-US"/>
        </w:rPr>
        <w:t>Data</w:t>
      </w:r>
      <w:r w:rsidR="004F20B6">
        <w:rPr>
          <w:rFonts w:ascii="Arial" w:hAnsi="Arial" w:cs="Arial"/>
          <w:b/>
          <w:lang w:val="en-US"/>
        </w:rPr>
        <w:t>, Terrazzini et al.</w:t>
      </w:r>
      <w:proofErr w:type="gramEnd"/>
    </w:p>
    <w:p w14:paraId="342304F3" w14:textId="626281E6" w:rsidR="000F2551" w:rsidRPr="000F2551" w:rsidRDefault="00495992" w:rsidP="00495992">
      <w:pPr>
        <w:spacing w:line="480" w:lineRule="auto"/>
        <w:rPr>
          <w:rFonts w:ascii="Arial" w:hAnsi="Arial" w:cs="Arial"/>
          <w:b/>
          <w:lang w:val="en-US"/>
        </w:rPr>
      </w:pPr>
      <w:r w:rsidRPr="00495992">
        <w:rPr>
          <w:rFonts w:ascii="Arial" w:hAnsi="Arial" w:cs="Arial"/>
          <w:b/>
          <w:lang w:val="en-US"/>
        </w:rPr>
        <w:t>Methods</w:t>
      </w:r>
    </w:p>
    <w:p w14:paraId="55AD75AC" w14:textId="77777777" w:rsidR="005427F5" w:rsidRPr="000F2551" w:rsidRDefault="005427F5" w:rsidP="00495992">
      <w:pPr>
        <w:spacing w:line="480" w:lineRule="auto"/>
        <w:rPr>
          <w:rFonts w:ascii="Arial" w:hAnsi="Arial" w:cs="Arial"/>
          <w:b/>
          <w:lang w:val="en-US"/>
        </w:rPr>
      </w:pPr>
      <w:r w:rsidRPr="000F2551">
        <w:rPr>
          <w:rFonts w:ascii="Arial" w:hAnsi="Arial" w:cs="Arial"/>
          <w:b/>
          <w:lang w:val="en-US"/>
        </w:rPr>
        <w:t>Study population</w:t>
      </w:r>
    </w:p>
    <w:p w14:paraId="5550695B" w14:textId="27338B45" w:rsidR="005427F5" w:rsidRPr="008259C9" w:rsidRDefault="005427F5" w:rsidP="00F22634">
      <w:pPr>
        <w:spacing w:line="480" w:lineRule="auto"/>
        <w:jc w:val="both"/>
        <w:rPr>
          <w:rFonts w:ascii="Arial" w:hAnsi="Arial" w:cs="Arial"/>
          <w:lang w:val="en-US"/>
        </w:rPr>
      </w:pPr>
      <w:r w:rsidRPr="00C7596F">
        <w:rPr>
          <w:rFonts w:ascii="Arial" w:hAnsi="Arial" w:cs="Arial"/>
          <w:lang w:val="en-US"/>
        </w:rPr>
        <w:t xml:space="preserve">Exclusion criteria included </w:t>
      </w:r>
      <w:r w:rsidRPr="008259C9">
        <w:rPr>
          <w:rFonts w:ascii="Arial" w:hAnsi="Arial" w:cs="Arial"/>
          <w:lang w:val="en-US"/>
        </w:rPr>
        <w:t xml:space="preserve">immunodeficiency (including HIV-infection), organ transplantation, use of immunosuppressive/immunomodulating drugs within the last year, cancer or cancer treatment within the last 5 years, insulin dependent diabetes, moderate/advanced renal failure, liver disease, endocrine disorders (other than corrected thyroid dysfunction), autoimmune disease, dementia/mental incompetence (MMSE &lt;28), alcohol/other drug abuse, acute infection/illness in the last 4 weeks, and raised body temperature. </w:t>
      </w:r>
      <w:r w:rsidR="00DE1A0F" w:rsidRPr="008259C9">
        <w:rPr>
          <w:rFonts w:ascii="Arial" w:hAnsi="Arial" w:cs="Arial"/>
          <w:lang w:val="en-US"/>
        </w:rPr>
        <w:t>Of the older</w:t>
      </w:r>
      <w:r w:rsidRPr="008259C9">
        <w:rPr>
          <w:rFonts w:ascii="Arial" w:hAnsi="Arial" w:cs="Arial"/>
          <w:lang w:val="en-US"/>
        </w:rPr>
        <w:t xml:space="preserve"> participants, </w:t>
      </w:r>
      <w:r w:rsidR="00DE1A0F" w:rsidRPr="008259C9">
        <w:rPr>
          <w:rFonts w:ascii="Arial" w:hAnsi="Arial" w:cs="Arial"/>
          <w:lang w:val="en-US"/>
        </w:rPr>
        <w:t xml:space="preserve">38% were taking </w:t>
      </w:r>
      <w:r w:rsidRPr="008259C9">
        <w:rPr>
          <w:rFonts w:ascii="Arial" w:hAnsi="Arial" w:cs="Arial"/>
          <w:lang w:val="en-US"/>
        </w:rPr>
        <w:t>antihypertensive drugs and/or beta blockers</w:t>
      </w:r>
      <w:r w:rsidR="00DE1A0F" w:rsidRPr="008259C9">
        <w:rPr>
          <w:rFonts w:ascii="Arial" w:hAnsi="Arial" w:cs="Arial"/>
          <w:lang w:val="en-US"/>
        </w:rPr>
        <w:t xml:space="preserve"> (all of these were classified to be on blood pressure medications)</w:t>
      </w:r>
      <w:r w:rsidRPr="008259C9">
        <w:rPr>
          <w:rFonts w:ascii="Arial" w:hAnsi="Arial" w:cs="Arial"/>
          <w:lang w:val="en-US"/>
        </w:rPr>
        <w:t xml:space="preserve">, 14% were taking cholesterol-lowering drugs. </w:t>
      </w:r>
      <w:r w:rsidR="00A747E5">
        <w:rPr>
          <w:rFonts w:ascii="Arial" w:hAnsi="Arial" w:cs="Arial"/>
          <w:lang w:val="en-US"/>
        </w:rPr>
        <w:t>Of 131</w:t>
      </w:r>
      <w:r w:rsidR="006B53B4">
        <w:rPr>
          <w:rFonts w:ascii="Arial" w:hAnsi="Arial" w:cs="Arial"/>
          <w:lang w:val="en-US"/>
        </w:rPr>
        <w:t xml:space="preserve"> </w:t>
      </w:r>
      <w:r w:rsidR="00A747E5">
        <w:rPr>
          <w:rFonts w:ascii="Arial" w:hAnsi="Arial" w:cs="Arial"/>
          <w:lang w:val="en-US"/>
        </w:rPr>
        <w:t xml:space="preserve">older </w:t>
      </w:r>
      <w:r w:rsidR="006B53B4">
        <w:rPr>
          <w:rFonts w:ascii="Arial" w:hAnsi="Arial" w:cs="Arial"/>
          <w:lang w:val="en-US"/>
        </w:rPr>
        <w:t xml:space="preserve">participants </w:t>
      </w:r>
      <w:r w:rsidR="00A747E5">
        <w:rPr>
          <w:rFonts w:ascii="Arial" w:hAnsi="Arial" w:cs="Arial"/>
          <w:lang w:val="en-US"/>
        </w:rPr>
        <w:t xml:space="preserve">only </w:t>
      </w:r>
      <w:r w:rsidR="006B53B4">
        <w:rPr>
          <w:rFonts w:ascii="Arial" w:hAnsi="Arial" w:cs="Arial"/>
          <w:lang w:val="en-US"/>
        </w:rPr>
        <w:t xml:space="preserve">3 were smokers at the time of inclusion. </w:t>
      </w:r>
      <w:r w:rsidR="006B53B4" w:rsidRPr="00C72E1C">
        <w:rPr>
          <w:rFonts w:ascii="Arial" w:hAnsi="Arial" w:cs="Arial"/>
          <w:lang w:val="en-US"/>
        </w:rPr>
        <w:t xml:space="preserve">A complete past smoking history was provided by </w:t>
      </w:r>
      <w:r w:rsidR="007E47FC" w:rsidRPr="00C72E1C">
        <w:rPr>
          <w:rFonts w:ascii="Arial" w:hAnsi="Arial" w:cs="Arial"/>
          <w:lang w:val="en-US"/>
        </w:rPr>
        <w:t>97</w:t>
      </w:r>
      <w:r w:rsidR="00774AB7" w:rsidRPr="00C72E1C">
        <w:rPr>
          <w:rFonts w:ascii="Arial" w:hAnsi="Arial" w:cs="Arial"/>
          <w:lang w:val="en-US"/>
        </w:rPr>
        <w:t xml:space="preserve"> of </w:t>
      </w:r>
      <w:r w:rsidR="007E47FC" w:rsidRPr="00C72E1C">
        <w:rPr>
          <w:rFonts w:ascii="Arial" w:hAnsi="Arial" w:cs="Arial"/>
          <w:lang w:val="en-US"/>
        </w:rPr>
        <w:t>131</w:t>
      </w:r>
      <w:r w:rsidR="00774AB7" w:rsidRPr="00C72E1C">
        <w:rPr>
          <w:rFonts w:ascii="Arial" w:hAnsi="Arial" w:cs="Arial"/>
          <w:lang w:val="en-US"/>
        </w:rPr>
        <w:t xml:space="preserve"> older people including </w:t>
      </w:r>
      <w:r w:rsidR="007E47FC" w:rsidRPr="00C72E1C">
        <w:rPr>
          <w:rFonts w:ascii="Arial" w:hAnsi="Arial" w:cs="Arial"/>
          <w:lang w:val="en-US"/>
        </w:rPr>
        <w:t>51</w:t>
      </w:r>
      <w:r w:rsidR="00774AB7" w:rsidRPr="00C72E1C">
        <w:rPr>
          <w:rFonts w:ascii="Arial" w:hAnsi="Arial" w:cs="Arial"/>
          <w:lang w:val="en-US"/>
        </w:rPr>
        <w:t xml:space="preserve"> who never smoked and </w:t>
      </w:r>
      <w:r w:rsidR="007E47FC" w:rsidRPr="00C72E1C">
        <w:rPr>
          <w:rFonts w:ascii="Arial" w:hAnsi="Arial" w:cs="Arial"/>
          <w:lang w:val="en-US"/>
        </w:rPr>
        <w:t>46</w:t>
      </w:r>
      <w:r w:rsidR="00774AB7" w:rsidRPr="00C72E1C">
        <w:rPr>
          <w:rFonts w:ascii="Arial" w:hAnsi="Arial" w:cs="Arial"/>
          <w:lang w:val="en-US"/>
        </w:rPr>
        <w:t xml:space="preserve"> who had smoked in the past</w:t>
      </w:r>
      <w:r w:rsidR="00A747E5">
        <w:rPr>
          <w:rFonts w:ascii="Arial" w:hAnsi="Arial" w:cs="Arial"/>
          <w:lang w:val="en-US"/>
        </w:rPr>
        <w:t xml:space="preserve"> (more </w:t>
      </w:r>
      <w:bookmarkStart w:id="0" w:name="_GoBack"/>
      <w:bookmarkEnd w:id="0"/>
      <w:r w:rsidR="00A747E5">
        <w:rPr>
          <w:rFonts w:ascii="Arial" w:hAnsi="Arial" w:cs="Arial"/>
          <w:lang w:val="en-US"/>
        </w:rPr>
        <w:t>details are found in supplementary Tables S1 and S2)</w:t>
      </w:r>
      <w:r w:rsidR="00774AB7" w:rsidRPr="00C72E1C">
        <w:rPr>
          <w:rFonts w:ascii="Arial" w:hAnsi="Arial" w:cs="Arial"/>
          <w:lang w:val="en-US"/>
        </w:rPr>
        <w:t>.</w:t>
      </w:r>
    </w:p>
    <w:p w14:paraId="49F88C32" w14:textId="77777777" w:rsidR="00945627" w:rsidRPr="008259C9" w:rsidRDefault="00945627" w:rsidP="00495992">
      <w:pPr>
        <w:spacing w:line="480" w:lineRule="auto"/>
        <w:rPr>
          <w:rFonts w:ascii="Arial" w:hAnsi="Arial" w:cs="Arial"/>
          <w:lang w:val="en-US"/>
        </w:rPr>
      </w:pPr>
    </w:p>
    <w:p w14:paraId="01693F6E" w14:textId="25311BFE" w:rsidR="006D13F2" w:rsidRPr="00511A76" w:rsidRDefault="00BB16D1" w:rsidP="00495992">
      <w:pPr>
        <w:pStyle w:val="NormalWeb"/>
        <w:kinsoku w:val="0"/>
        <w:overflowPunct w:val="0"/>
        <w:spacing w:line="480" w:lineRule="auto"/>
        <w:jc w:val="both"/>
        <w:textAlignment w:val="baseline"/>
        <w:rPr>
          <w:rFonts w:ascii="Arial" w:hAnsi="Arial" w:cs="Arial"/>
          <w:b/>
          <w:sz w:val="22"/>
          <w:szCs w:val="22"/>
          <w:lang w:val="en-US"/>
        </w:rPr>
      </w:pPr>
      <w:r w:rsidRPr="00511A76">
        <w:rPr>
          <w:rFonts w:ascii="Arial" w:hAnsi="Arial" w:cs="Arial"/>
          <w:b/>
          <w:sz w:val="22"/>
          <w:szCs w:val="22"/>
          <w:lang w:val="en-US"/>
        </w:rPr>
        <w:t>Stimulation of whole blood and PBMC</w:t>
      </w:r>
    </w:p>
    <w:p w14:paraId="3DB30E64" w14:textId="48A425E9" w:rsidR="00BB16D1" w:rsidRPr="008259C9" w:rsidRDefault="00A4768B" w:rsidP="00495992">
      <w:pPr>
        <w:pStyle w:val="NormalWeb"/>
        <w:kinsoku w:val="0"/>
        <w:overflowPunct w:val="0"/>
        <w:spacing w:line="480" w:lineRule="auto"/>
        <w:jc w:val="both"/>
        <w:textAlignment w:val="baseline"/>
        <w:rPr>
          <w:rFonts w:ascii="Arial" w:hAnsi="Arial" w:cs="Arial"/>
          <w:sz w:val="22"/>
          <w:szCs w:val="22"/>
          <w:lang w:val="en-US"/>
        </w:rPr>
      </w:pPr>
      <w:r w:rsidRPr="008259C9">
        <w:rPr>
          <w:rFonts w:ascii="Arial" w:hAnsi="Arial" w:cs="Arial"/>
          <w:sz w:val="22"/>
          <w:szCs w:val="22"/>
          <w:lang w:val="en-US"/>
        </w:rPr>
        <w:t xml:space="preserve">Peptide working solution was prepared by dissolving 25 </w:t>
      </w:r>
      <w:r w:rsidRPr="00F22634">
        <w:rPr>
          <w:rFonts w:ascii="Symbol" w:hAnsi="Symbol" w:cs="Arial"/>
          <w:sz w:val="22"/>
          <w:szCs w:val="22"/>
          <w:lang w:val="en-US"/>
        </w:rPr>
        <w:t></w:t>
      </w:r>
      <w:r w:rsidRPr="008259C9">
        <w:rPr>
          <w:rFonts w:ascii="Arial" w:hAnsi="Arial" w:cs="Arial"/>
          <w:sz w:val="22"/>
          <w:szCs w:val="22"/>
          <w:lang w:val="en-US"/>
        </w:rPr>
        <w:t>g</w:t>
      </w:r>
      <w:r w:rsidR="009778B6" w:rsidRPr="008259C9">
        <w:rPr>
          <w:rFonts w:ascii="Arial" w:hAnsi="Arial" w:cs="Arial"/>
          <w:sz w:val="22"/>
          <w:szCs w:val="22"/>
          <w:lang w:val="en-US"/>
        </w:rPr>
        <w:t xml:space="preserve"> per peptide for</w:t>
      </w:r>
      <w:r w:rsidRPr="008259C9">
        <w:rPr>
          <w:rFonts w:ascii="Arial" w:hAnsi="Arial" w:cs="Arial"/>
          <w:sz w:val="22"/>
          <w:szCs w:val="22"/>
          <w:lang w:val="en-US"/>
        </w:rPr>
        <w:t xml:space="preserve"> </w:t>
      </w:r>
      <w:r w:rsidR="009778B6" w:rsidRPr="008259C9">
        <w:rPr>
          <w:rFonts w:ascii="Arial" w:hAnsi="Arial" w:cs="Arial"/>
          <w:sz w:val="22"/>
          <w:szCs w:val="22"/>
          <w:lang w:val="en-US"/>
        </w:rPr>
        <w:t xml:space="preserve">each </w:t>
      </w:r>
      <w:r w:rsidRPr="008259C9">
        <w:rPr>
          <w:rFonts w:ascii="Arial" w:hAnsi="Arial" w:cs="Arial"/>
          <w:sz w:val="22"/>
          <w:szCs w:val="22"/>
          <w:lang w:val="en-US"/>
        </w:rPr>
        <w:t xml:space="preserve">the freeze dried pools in 100 </w:t>
      </w:r>
      <w:r w:rsidRPr="00F22634">
        <w:rPr>
          <w:rFonts w:ascii="Symbol" w:hAnsi="Symbol" w:cs="Arial"/>
          <w:sz w:val="22"/>
          <w:szCs w:val="22"/>
          <w:lang w:val="en-US"/>
        </w:rPr>
        <w:t></w:t>
      </w:r>
      <w:r w:rsidRPr="008259C9">
        <w:rPr>
          <w:rFonts w:ascii="Arial" w:hAnsi="Arial" w:cs="Arial"/>
          <w:sz w:val="22"/>
          <w:szCs w:val="22"/>
          <w:lang w:val="en-US"/>
        </w:rPr>
        <w:t>l of DMSO (Sigma-Aldrich)</w:t>
      </w:r>
      <w:r w:rsidR="00C364A2" w:rsidRPr="008259C9">
        <w:rPr>
          <w:rFonts w:ascii="Arial" w:hAnsi="Arial" w:cs="Arial"/>
          <w:sz w:val="22"/>
          <w:szCs w:val="22"/>
          <w:lang w:val="en-US"/>
        </w:rPr>
        <w:t xml:space="preserve"> and stored for short-term at </w:t>
      </w:r>
      <w:r w:rsidRPr="008259C9">
        <w:rPr>
          <w:rFonts w:ascii="Arial" w:hAnsi="Arial" w:cs="Arial"/>
          <w:sz w:val="22"/>
          <w:szCs w:val="22"/>
          <w:lang w:val="en-US"/>
        </w:rPr>
        <w:t xml:space="preserve">20°C. </w:t>
      </w:r>
      <w:r w:rsidR="00C364A2" w:rsidRPr="008259C9">
        <w:rPr>
          <w:rFonts w:ascii="Arial" w:hAnsi="Arial" w:cs="Arial"/>
          <w:sz w:val="22"/>
          <w:szCs w:val="22"/>
          <w:lang w:val="en-US"/>
        </w:rPr>
        <w:t>For</w:t>
      </w:r>
      <w:r w:rsidRPr="008259C9">
        <w:rPr>
          <w:rFonts w:ascii="Arial" w:hAnsi="Arial" w:cs="Arial"/>
          <w:sz w:val="22"/>
          <w:szCs w:val="22"/>
          <w:lang w:val="en-US"/>
        </w:rPr>
        <w:t xml:space="preserve"> </w:t>
      </w:r>
      <w:r w:rsidR="006D13F2" w:rsidRPr="008259C9">
        <w:rPr>
          <w:rFonts w:ascii="Arial" w:hAnsi="Arial" w:cs="Arial"/>
          <w:sz w:val="22"/>
          <w:szCs w:val="22"/>
          <w:lang w:val="en-US"/>
        </w:rPr>
        <w:t xml:space="preserve">each </w:t>
      </w:r>
      <w:r w:rsidRPr="008259C9">
        <w:rPr>
          <w:rFonts w:ascii="Arial" w:hAnsi="Arial" w:cs="Arial"/>
          <w:sz w:val="22"/>
          <w:szCs w:val="22"/>
          <w:lang w:val="en-US"/>
        </w:rPr>
        <w:t xml:space="preserve">stimulated </w:t>
      </w:r>
      <w:r w:rsidR="006D13F2" w:rsidRPr="008259C9">
        <w:rPr>
          <w:rFonts w:ascii="Arial" w:hAnsi="Arial" w:cs="Arial"/>
          <w:sz w:val="22"/>
          <w:szCs w:val="22"/>
          <w:lang w:val="en-US"/>
        </w:rPr>
        <w:t xml:space="preserve">whole blood </w:t>
      </w:r>
      <w:r w:rsidRPr="008259C9">
        <w:rPr>
          <w:rFonts w:ascii="Arial" w:hAnsi="Arial" w:cs="Arial"/>
          <w:sz w:val="22"/>
          <w:szCs w:val="22"/>
          <w:lang w:val="en-US"/>
        </w:rPr>
        <w:t xml:space="preserve">tube, </w:t>
      </w:r>
      <w:r w:rsidR="006D13F2" w:rsidRPr="008259C9">
        <w:rPr>
          <w:rFonts w:ascii="Arial" w:hAnsi="Arial" w:cs="Arial"/>
          <w:sz w:val="22"/>
          <w:szCs w:val="22"/>
          <w:lang w:val="en-US"/>
        </w:rPr>
        <w:t xml:space="preserve">250 </w:t>
      </w:r>
      <w:r w:rsidR="006D13F2" w:rsidRPr="00F22634">
        <w:rPr>
          <w:rFonts w:ascii="Symbol" w:hAnsi="Symbol" w:cs="Arial"/>
          <w:sz w:val="22"/>
          <w:szCs w:val="22"/>
          <w:lang w:val="en-US"/>
        </w:rPr>
        <w:t></w:t>
      </w:r>
      <w:r w:rsidR="00CC5337" w:rsidRPr="008259C9">
        <w:rPr>
          <w:rFonts w:ascii="Arial" w:hAnsi="Arial" w:cs="Arial"/>
          <w:sz w:val="22"/>
          <w:szCs w:val="22"/>
          <w:lang w:val="en-US"/>
        </w:rPr>
        <w:t>l</w:t>
      </w:r>
      <w:r w:rsidR="006D13F2" w:rsidRPr="008259C9">
        <w:rPr>
          <w:rFonts w:ascii="Arial" w:hAnsi="Arial" w:cs="Arial"/>
          <w:sz w:val="22"/>
          <w:szCs w:val="22"/>
          <w:lang w:val="en-US"/>
        </w:rPr>
        <w:t xml:space="preserve"> of complete media containing </w:t>
      </w:r>
      <w:r w:rsidR="00B10A30" w:rsidRPr="008259C9">
        <w:rPr>
          <w:rFonts w:ascii="Arial" w:hAnsi="Arial" w:cs="Arial"/>
          <w:sz w:val="22"/>
          <w:szCs w:val="22"/>
          <w:lang w:val="en-US"/>
        </w:rPr>
        <w:t xml:space="preserve">1 </w:t>
      </w:r>
      <w:r w:rsidR="00C364A2" w:rsidRPr="00F22634">
        <w:rPr>
          <w:rFonts w:ascii="Symbol" w:hAnsi="Symbol" w:cs="Arial"/>
          <w:sz w:val="22"/>
          <w:szCs w:val="22"/>
          <w:lang w:val="en-US"/>
        </w:rPr>
        <w:t></w:t>
      </w:r>
      <w:r w:rsidR="00B10A30" w:rsidRPr="008259C9">
        <w:rPr>
          <w:rFonts w:ascii="Arial" w:hAnsi="Arial" w:cs="Arial"/>
          <w:sz w:val="22"/>
          <w:szCs w:val="22"/>
          <w:lang w:val="en-US"/>
        </w:rPr>
        <w:t>g</w:t>
      </w:r>
      <w:r w:rsidR="00C364A2" w:rsidRPr="008259C9">
        <w:rPr>
          <w:rFonts w:ascii="Arial" w:hAnsi="Arial" w:cs="Arial"/>
          <w:sz w:val="22"/>
          <w:szCs w:val="22"/>
          <w:lang w:val="en-US"/>
        </w:rPr>
        <w:t xml:space="preserve"> of CMV lysate, </w:t>
      </w:r>
      <w:r w:rsidR="00B10A30" w:rsidRPr="008259C9">
        <w:rPr>
          <w:rFonts w:ascii="Arial" w:hAnsi="Arial" w:cs="Arial"/>
          <w:sz w:val="22"/>
          <w:szCs w:val="22"/>
          <w:lang w:val="en-US"/>
        </w:rPr>
        <w:t xml:space="preserve">0.5 </w:t>
      </w:r>
      <w:r w:rsidR="00B10A30" w:rsidRPr="00F22634">
        <w:rPr>
          <w:rFonts w:ascii="Symbol" w:hAnsi="Symbol" w:cs="Arial"/>
          <w:sz w:val="22"/>
          <w:szCs w:val="22"/>
          <w:lang w:val="en-US"/>
        </w:rPr>
        <w:t></w:t>
      </w:r>
      <w:r w:rsidR="00B10A30" w:rsidRPr="008259C9">
        <w:rPr>
          <w:rFonts w:ascii="Arial" w:hAnsi="Arial" w:cs="Arial"/>
          <w:sz w:val="22"/>
          <w:szCs w:val="22"/>
          <w:lang w:val="en-US"/>
        </w:rPr>
        <w:t xml:space="preserve">g </w:t>
      </w:r>
      <w:r w:rsidR="00C364A2" w:rsidRPr="008259C9">
        <w:rPr>
          <w:rFonts w:ascii="Arial" w:hAnsi="Arial" w:cs="Arial"/>
          <w:sz w:val="22"/>
          <w:szCs w:val="22"/>
          <w:lang w:val="en-US"/>
        </w:rPr>
        <w:t>CMV PepMixes</w:t>
      </w:r>
      <w:r w:rsidR="00B10A30" w:rsidRPr="008259C9">
        <w:rPr>
          <w:rFonts w:ascii="Arial" w:hAnsi="Arial" w:cs="Arial"/>
          <w:sz w:val="22"/>
          <w:szCs w:val="22"/>
          <w:lang w:val="en-US"/>
        </w:rPr>
        <w:t xml:space="preserve">, 5 </w:t>
      </w:r>
      <w:r w:rsidR="00B10A30" w:rsidRPr="00F22634">
        <w:rPr>
          <w:rFonts w:ascii="Symbol" w:hAnsi="Symbol" w:cs="Arial"/>
          <w:sz w:val="22"/>
          <w:szCs w:val="22"/>
          <w:lang w:val="en-US"/>
        </w:rPr>
        <w:t></w:t>
      </w:r>
      <w:r w:rsidR="00B10A30" w:rsidRPr="008259C9">
        <w:rPr>
          <w:rFonts w:ascii="Arial" w:hAnsi="Arial" w:cs="Arial"/>
          <w:sz w:val="22"/>
          <w:szCs w:val="22"/>
          <w:lang w:val="en-US"/>
        </w:rPr>
        <w:t xml:space="preserve">g </w:t>
      </w:r>
      <w:r w:rsidR="00CC5337" w:rsidRPr="008259C9">
        <w:rPr>
          <w:rFonts w:ascii="Arial" w:hAnsi="Arial" w:cs="Arial"/>
          <w:sz w:val="22"/>
          <w:szCs w:val="22"/>
          <w:lang w:val="en-US"/>
        </w:rPr>
        <w:t xml:space="preserve">of </w:t>
      </w:r>
      <w:r w:rsidR="00B10A30" w:rsidRPr="008259C9">
        <w:rPr>
          <w:rFonts w:ascii="Arial" w:hAnsi="Arial" w:cs="Arial"/>
          <w:sz w:val="22"/>
          <w:szCs w:val="22"/>
          <w:lang w:val="en-US"/>
        </w:rPr>
        <w:t>tuberculin</w:t>
      </w:r>
      <w:r w:rsidR="00C364A2" w:rsidRPr="008259C9">
        <w:rPr>
          <w:rFonts w:ascii="Arial" w:hAnsi="Arial" w:cs="Arial"/>
          <w:sz w:val="22"/>
          <w:szCs w:val="22"/>
          <w:lang w:val="en-US"/>
        </w:rPr>
        <w:t xml:space="preserve"> or </w:t>
      </w:r>
      <w:r w:rsidR="00B10A30" w:rsidRPr="008259C9">
        <w:rPr>
          <w:rFonts w:ascii="Arial" w:hAnsi="Arial" w:cs="Arial"/>
          <w:sz w:val="22"/>
          <w:szCs w:val="22"/>
          <w:lang w:val="en-US"/>
        </w:rPr>
        <w:t xml:space="preserve">2.5 </w:t>
      </w:r>
      <w:r w:rsidR="00B10A30" w:rsidRPr="00F22634">
        <w:rPr>
          <w:rFonts w:ascii="Symbol" w:hAnsi="Symbol" w:cs="Arial"/>
          <w:sz w:val="22"/>
          <w:szCs w:val="22"/>
          <w:lang w:val="en-US"/>
        </w:rPr>
        <w:t></w:t>
      </w:r>
      <w:r w:rsidR="00CC5337" w:rsidRPr="008259C9">
        <w:rPr>
          <w:rFonts w:ascii="Arial" w:hAnsi="Arial" w:cs="Arial"/>
          <w:sz w:val="22"/>
          <w:szCs w:val="22"/>
          <w:lang w:val="en-US"/>
        </w:rPr>
        <w:t>g</w:t>
      </w:r>
      <w:r w:rsidR="00B10A30" w:rsidRPr="008259C9">
        <w:rPr>
          <w:rFonts w:ascii="Arial" w:hAnsi="Arial" w:cs="Arial"/>
          <w:sz w:val="22"/>
          <w:szCs w:val="22"/>
          <w:lang w:val="en-US"/>
        </w:rPr>
        <w:t xml:space="preserve"> </w:t>
      </w:r>
      <w:r w:rsidR="00C364A2" w:rsidRPr="008259C9">
        <w:rPr>
          <w:rFonts w:ascii="Arial" w:hAnsi="Arial" w:cs="Arial"/>
          <w:sz w:val="22"/>
          <w:szCs w:val="22"/>
          <w:lang w:val="en-US"/>
        </w:rPr>
        <w:t xml:space="preserve">PHA </w:t>
      </w:r>
      <w:r w:rsidR="00CC5337" w:rsidRPr="008259C9">
        <w:rPr>
          <w:rFonts w:ascii="Arial" w:hAnsi="Arial" w:cs="Arial"/>
          <w:sz w:val="22"/>
          <w:szCs w:val="22"/>
          <w:lang w:val="en-US"/>
        </w:rPr>
        <w:t>were added to 0.25 ml</w:t>
      </w:r>
      <w:r w:rsidR="006D13F2" w:rsidRPr="008259C9">
        <w:rPr>
          <w:rFonts w:ascii="Arial" w:hAnsi="Arial" w:cs="Arial"/>
          <w:sz w:val="22"/>
          <w:szCs w:val="22"/>
          <w:lang w:val="en-US"/>
        </w:rPr>
        <w:t xml:space="preserve"> of </w:t>
      </w:r>
      <w:r w:rsidR="00BB16D1" w:rsidRPr="008259C9">
        <w:rPr>
          <w:rFonts w:ascii="Arial" w:hAnsi="Arial" w:cs="Arial"/>
          <w:sz w:val="22"/>
          <w:szCs w:val="22"/>
          <w:lang w:val="en-US"/>
        </w:rPr>
        <w:t xml:space="preserve">heparin-anti-coagulated </w:t>
      </w:r>
      <w:r w:rsidR="006D13F2" w:rsidRPr="008259C9">
        <w:rPr>
          <w:rFonts w:ascii="Arial" w:hAnsi="Arial" w:cs="Arial"/>
          <w:sz w:val="22"/>
          <w:szCs w:val="22"/>
          <w:lang w:val="en-US"/>
        </w:rPr>
        <w:t xml:space="preserve">whole blood </w:t>
      </w:r>
      <w:r w:rsidR="002B1308" w:rsidRPr="008259C9">
        <w:rPr>
          <w:rFonts w:ascii="Arial" w:hAnsi="Arial" w:cs="Arial"/>
          <w:sz w:val="22"/>
          <w:szCs w:val="22"/>
          <w:lang w:val="en-US"/>
        </w:rPr>
        <w:t xml:space="preserve">to obtain the final stimulation volume of </w:t>
      </w:r>
      <w:r w:rsidRPr="008259C9">
        <w:rPr>
          <w:rFonts w:ascii="Arial" w:hAnsi="Arial" w:cs="Arial"/>
          <w:sz w:val="22"/>
          <w:szCs w:val="22"/>
          <w:lang w:val="en-US"/>
        </w:rPr>
        <w:t>0.5 m</w:t>
      </w:r>
      <w:r w:rsidR="00CC5337" w:rsidRPr="008259C9">
        <w:rPr>
          <w:rFonts w:ascii="Arial" w:hAnsi="Arial" w:cs="Arial"/>
          <w:sz w:val="22"/>
          <w:szCs w:val="22"/>
          <w:lang w:val="en-US"/>
        </w:rPr>
        <w:t>l</w:t>
      </w:r>
      <w:r w:rsidR="002B1308" w:rsidRPr="008259C9">
        <w:rPr>
          <w:rFonts w:ascii="Arial" w:hAnsi="Arial" w:cs="Arial"/>
          <w:sz w:val="22"/>
          <w:szCs w:val="22"/>
          <w:lang w:val="en-US"/>
        </w:rPr>
        <w:t xml:space="preserve">. For PBMC stimulation, stimulants </w:t>
      </w:r>
      <w:r w:rsidR="00BB16D1" w:rsidRPr="008259C9">
        <w:rPr>
          <w:rFonts w:ascii="Arial" w:hAnsi="Arial" w:cs="Arial"/>
          <w:sz w:val="22"/>
          <w:szCs w:val="22"/>
          <w:lang w:val="en-US"/>
        </w:rPr>
        <w:t xml:space="preserve">and </w:t>
      </w:r>
      <w:r w:rsidR="00FB3CCA" w:rsidRPr="008259C9">
        <w:rPr>
          <w:rFonts w:ascii="Arial" w:hAnsi="Arial" w:cs="Arial"/>
          <w:sz w:val="22"/>
          <w:szCs w:val="22"/>
          <w:lang w:val="en-US"/>
        </w:rPr>
        <w:t xml:space="preserve">APC-labeled </w:t>
      </w:r>
      <w:r w:rsidR="00BB16D1" w:rsidRPr="008259C9">
        <w:rPr>
          <w:rFonts w:ascii="Arial" w:hAnsi="Arial" w:cs="Arial"/>
          <w:sz w:val="22"/>
          <w:szCs w:val="22"/>
          <w:lang w:val="en-US"/>
        </w:rPr>
        <w:t>anti-CD107</w:t>
      </w:r>
      <w:r w:rsidR="00FB3CCA" w:rsidRPr="008259C9">
        <w:rPr>
          <w:rFonts w:ascii="Arial" w:hAnsi="Arial" w:cs="Arial"/>
          <w:sz w:val="22"/>
          <w:szCs w:val="22"/>
          <w:lang w:val="en-US"/>
        </w:rPr>
        <w:t xml:space="preserve">a </w:t>
      </w:r>
      <w:r w:rsidR="00BB16D1" w:rsidRPr="008259C9">
        <w:rPr>
          <w:rFonts w:ascii="Arial" w:hAnsi="Arial" w:cs="Arial"/>
          <w:sz w:val="22"/>
          <w:szCs w:val="22"/>
          <w:lang w:val="en-US"/>
        </w:rPr>
        <w:t>antibody</w:t>
      </w:r>
      <w:r w:rsidR="00712971" w:rsidRPr="008259C9">
        <w:rPr>
          <w:rFonts w:ascii="Arial" w:hAnsi="Arial" w:cs="Arial"/>
          <w:sz w:val="22"/>
          <w:szCs w:val="22"/>
          <w:lang w:val="en-US"/>
        </w:rPr>
        <w:t xml:space="preserve"> (</w:t>
      </w:r>
      <w:r w:rsidR="00FB3CCA" w:rsidRPr="008259C9">
        <w:rPr>
          <w:rFonts w:ascii="Arial" w:hAnsi="Arial" w:cs="Arial"/>
          <w:sz w:val="22"/>
          <w:szCs w:val="22"/>
          <w:lang w:val="en-US"/>
        </w:rPr>
        <w:t>BD Biosciences, Oxford, UK)</w:t>
      </w:r>
      <w:r w:rsidR="00BB16D1" w:rsidRPr="008259C9">
        <w:rPr>
          <w:rFonts w:ascii="Arial" w:hAnsi="Arial" w:cs="Arial"/>
          <w:sz w:val="22"/>
          <w:szCs w:val="22"/>
          <w:lang w:val="en-US"/>
        </w:rPr>
        <w:t xml:space="preserve"> </w:t>
      </w:r>
      <w:r w:rsidR="00FB3CCA" w:rsidRPr="008259C9">
        <w:rPr>
          <w:rFonts w:ascii="Arial" w:hAnsi="Arial" w:cs="Arial"/>
          <w:sz w:val="22"/>
          <w:szCs w:val="22"/>
          <w:lang w:val="en-US"/>
        </w:rPr>
        <w:t>were placed in</w:t>
      </w:r>
      <w:r w:rsidR="002B1308" w:rsidRPr="008259C9">
        <w:rPr>
          <w:rFonts w:ascii="Arial" w:hAnsi="Arial" w:cs="Arial"/>
          <w:sz w:val="22"/>
          <w:szCs w:val="22"/>
          <w:lang w:val="en-US"/>
        </w:rPr>
        <w:t xml:space="preserve"> sterile </w:t>
      </w:r>
      <w:r w:rsidR="002B1308" w:rsidRPr="008259C9">
        <w:rPr>
          <w:rFonts w:ascii="Arial" w:hAnsi="Arial" w:cs="Arial"/>
          <w:sz w:val="22"/>
          <w:szCs w:val="22"/>
          <w:lang w:val="en-US"/>
        </w:rPr>
        <w:lastRenderedPageBreak/>
        <w:t>polystyrene round bottom tubes (Falcon; BD Biosciences)</w:t>
      </w:r>
      <w:r w:rsidR="00BB16D1" w:rsidRPr="008259C9">
        <w:rPr>
          <w:rFonts w:ascii="Arial" w:hAnsi="Arial" w:cs="Arial"/>
          <w:sz w:val="22"/>
          <w:szCs w:val="22"/>
          <w:lang w:val="en-US"/>
        </w:rPr>
        <w:t xml:space="preserve"> before cell suspension was added</w:t>
      </w:r>
      <w:r w:rsidR="002B1308" w:rsidRPr="008259C9">
        <w:rPr>
          <w:rFonts w:ascii="Arial" w:hAnsi="Arial" w:cs="Arial"/>
          <w:sz w:val="22"/>
          <w:szCs w:val="22"/>
          <w:lang w:val="en-US"/>
        </w:rPr>
        <w:t xml:space="preserve">. Each tube received 2 </w:t>
      </w:r>
      <w:r w:rsidR="002B1308" w:rsidRPr="00F22634">
        <w:rPr>
          <w:rFonts w:ascii="Symbol" w:hAnsi="Symbol" w:cs="Arial"/>
          <w:sz w:val="22"/>
          <w:szCs w:val="22"/>
          <w:lang w:val="en-US"/>
        </w:rPr>
        <w:t></w:t>
      </w:r>
      <w:r w:rsidR="002B1308" w:rsidRPr="008259C9">
        <w:rPr>
          <w:rFonts w:ascii="Arial" w:hAnsi="Arial" w:cs="Arial"/>
          <w:sz w:val="22"/>
          <w:szCs w:val="22"/>
          <w:lang w:val="en-US"/>
        </w:rPr>
        <w:t xml:space="preserve">l of </w:t>
      </w:r>
      <w:r w:rsidR="00BB16D1" w:rsidRPr="008259C9">
        <w:rPr>
          <w:rFonts w:ascii="Arial" w:hAnsi="Arial" w:cs="Arial"/>
          <w:sz w:val="22"/>
          <w:szCs w:val="22"/>
          <w:lang w:val="en-US"/>
        </w:rPr>
        <w:t>dissolved stimulant</w:t>
      </w:r>
      <w:r w:rsidR="002B1308" w:rsidRPr="008259C9">
        <w:rPr>
          <w:rFonts w:ascii="Arial" w:hAnsi="Arial" w:cs="Arial"/>
          <w:sz w:val="22"/>
          <w:szCs w:val="22"/>
          <w:lang w:val="en-US"/>
        </w:rPr>
        <w:t xml:space="preserve">, 0.5 </w:t>
      </w:r>
      <w:r w:rsidR="002B1308" w:rsidRPr="00B651A7">
        <w:rPr>
          <w:rFonts w:ascii="Symbol" w:hAnsi="Symbol" w:cs="Arial"/>
          <w:sz w:val="22"/>
          <w:szCs w:val="22"/>
          <w:lang w:val="en-US"/>
        </w:rPr>
        <w:t></w:t>
      </w:r>
      <w:r w:rsidR="002B1308" w:rsidRPr="008259C9">
        <w:rPr>
          <w:rFonts w:ascii="Arial" w:hAnsi="Arial" w:cs="Arial"/>
          <w:sz w:val="22"/>
          <w:szCs w:val="22"/>
          <w:lang w:val="en-US"/>
        </w:rPr>
        <w:t>l of anti-</w:t>
      </w:r>
      <w:r w:rsidR="00712971" w:rsidRPr="008259C9">
        <w:rPr>
          <w:rFonts w:ascii="Arial" w:hAnsi="Arial" w:cs="Arial"/>
          <w:sz w:val="22"/>
          <w:szCs w:val="22"/>
          <w:lang w:val="en-US"/>
        </w:rPr>
        <w:t>CD107a antibody</w:t>
      </w:r>
      <w:r w:rsidR="002B1308" w:rsidRPr="008259C9">
        <w:rPr>
          <w:rFonts w:ascii="Arial" w:hAnsi="Arial" w:cs="Arial"/>
          <w:sz w:val="22"/>
          <w:szCs w:val="22"/>
          <w:lang w:val="en-US"/>
        </w:rPr>
        <w:t xml:space="preserve">, 0.5 </w:t>
      </w:r>
      <w:r w:rsidR="002B1308" w:rsidRPr="00F22634">
        <w:rPr>
          <w:rFonts w:ascii="Symbol" w:hAnsi="Symbol" w:cs="Arial"/>
          <w:sz w:val="22"/>
          <w:szCs w:val="22"/>
          <w:lang w:val="en-US"/>
        </w:rPr>
        <w:t></w:t>
      </w:r>
      <w:r w:rsidR="002B1308" w:rsidRPr="008259C9">
        <w:rPr>
          <w:rFonts w:ascii="Arial" w:hAnsi="Arial" w:cs="Arial"/>
          <w:sz w:val="22"/>
          <w:szCs w:val="22"/>
          <w:lang w:val="en-US"/>
        </w:rPr>
        <w:t>l Monensin (‘Golgistop’, BD Biosciences)</w:t>
      </w:r>
      <w:r w:rsidR="00BB16D1" w:rsidRPr="008259C9">
        <w:rPr>
          <w:rFonts w:ascii="Arial" w:hAnsi="Arial" w:cs="Arial"/>
          <w:sz w:val="22"/>
          <w:szCs w:val="22"/>
          <w:lang w:val="en-US"/>
        </w:rPr>
        <w:t>,</w:t>
      </w:r>
      <w:r w:rsidR="002B1308" w:rsidRPr="008259C9">
        <w:rPr>
          <w:rFonts w:ascii="Arial" w:hAnsi="Arial" w:cs="Arial"/>
          <w:sz w:val="22"/>
          <w:szCs w:val="22"/>
          <w:lang w:val="en-US"/>
        </w:rPr>
        <w:t xml:space="preserve"> and 10</w:t>
      </w:r>
      <w:r w:rsidR="002B1308" w:rsidRPr="008F3C37">
        <w:rPr>
          <w:rFonts w:ascii="Arial" w:hAnsi="Arial" w:cs="Arial"/>
          <w:sz w:val="22"/>
          <w:szCs w:val="22"/>
          <w:vertAlign w:val="superscript"/>
          <w:lang w:val="en-US"/>
        </w:rPr>
        <w:t>6</w:t>
      </w:r>
      <w:r w:rsidR="002B1308" w:rsidRPr="008259C9">
        <w:rPr>
          <w:rFonts w:ascii="Arial" w:hAnsi="Arial" w:cs="Arial"/>
          <w:sz w:val="22"/>
          <w:szCs w:val="22"/>
          <w:lang w:val="en-US"/>
        </w:rPr>
        <w:t xml:space="preserve"> PBMC (200 </w:t>
      </w:r>
      <w:r w:rsidR="002B1308" w:rsidRPr="00F22634">
        <w:rPr>
          <w:rFonts w:ascii="Symbol" w:hAnsi="Symbol" w:cs="Arial"/>
          <w:sz w:val="22"/>
          <w:szCs w:val="22"/>
          <w:lang w:val="en-US"/>
        </w:rPr>
        <w:t></w:t>
      </w:r>
      <w:r w:rsidR="002B1308" w:rsidRPr="008259C9">
        <w:rPr>
          <w:rFonts w:ascii="Arial" w:hAnsi="Arial" w:cs="Arial"/>
          <w:sz w:val="22"/>
          <w:szCs w:val="22"/>
          <w:lang w:val="en-US"/>
        </w:rPr>
        <w:t>l PBMC suspension)</w:t>
      </w:r>
      <w:r w:rsidR="00BB16D1" w:rsidRPr="008259C9">
        <w:rPr>
          <w:rFonts w:ascii="Arial" w:hAnsi="Arial" w:cs="Arial"/>
          <w:sz w:val="22"/>
          <w:szCs w:val="22"/>
          <w:lang w:val="en-US"/>
        </w:rPr>
        <w:t xml:space="preserve"> plus</w:t>
      </w:r>
      <w:r w:rsidR="002B1308" w:rsidRPr="008259C9">
        <w:rPr>
          <w:rFonts w:ascii="Arial" w:hAnsi="Arial" w:cs="Arial"/>
          <w:sz w:val="22"/>
          <w:szCs w:val="22"/>
          <w:lang w:val="en-US"/>
        </w:rPr>
        <w:t xml:space="preserve"> complete media to a final volume of 250 </w:t>
      </w:r>
      <w:r w:rsidR="002B1308" w:rsidRPr="00B651A7">
        <w:rPr>
          <w:rFonts w:ascii="Symbol" w:hAnsi="Symbol" w:cs="Arial"/>
          <w:sz w:val="22"/>
          <w:szCs w:val="22"/>
          <w:lang w:val="en-US"/>
        </w:rPr>
        <w:t></w:t>
      </w:r>
      <w:r w:rsidR="002B1308" w:rsidRPr="008259C9">
        <w:rPr>
          <w:rFonts w:ascii="Arial" w:hAnsi="Arial" w:cs="Arial"/>
          <w:sz w:val="22"/>
          <w:szCs w:val="22"/>
          <w:lang w:val="en-US"/>
        </w:rPr>
        <w:t>l.</w:t>
      </w:r>
      <w:r w:rsidR="00BB16D1" w:rsidRPr="008259C9">
        <w:rPr>
          <w:rFonts w:ascii="Arial" w:hAnsi="Arial" w:cs="Arial"/>
          <w:sz w:val="22"/>
          <w:szCs w:val="22"/>
          <w:lang w:val="en-US"/>
        </w:rPr>
        <w:t xml:space="preserve"> </w:t>
      </w:r>
      <w:r w:rsidR="002B1308" w:rsidRPr="008259C9">
        <w:rPr>
          <w:rFonts w:ascii="Arial" w:hAnsi="Arial" w:cs="Arial"/>
          <w:sz w:val="22"/>
          <w:szCs w:val="22"/>
          <w:lang w:val="en-US"/>
        </w:rPr>
        <w:t>After 2 hours of incubation at 37°C in 5% CO</w:t>
      </w:r>
      <w:r w:rsidR="002B1308" w:rsidRPr="008F3C37">
        <w:rPr>
          <w:rFonts w:ascii="Arial" w:hAnsi="Arial" w:cs="Arial"/>
          <w:sz w:val="22"/>
          <w:szCs w:val="22"/>
          <w:vertAlign w:val="subscript"/>
          <w:lang w:val="en-US"/>
        </w:rPr>
        <w:t>2</w:t>
      </w:r>
      <w:r w:rsidR="002B1308" w:rsidRPr="008259C9">
        <w:rPr>
          <w:rFonts w:ascii="Arial" w:hAnsi="Arial" w:cs="Arial"/>
          <w:sz w:val="22"/>
          <w:szCs w:val="22"/>
          <w:lang w:val="en-US"/>
        </w:rPr>
        <w:t xml:space="preserve">, humidified atmosphere, 250 </w:t>
      </w:r>
      <w:r w:rsidR="002B1308" w:rsidRPr="00B651A7">
        <w:rPr>
          <w:rFonts w:ascii="Symbol" w:hAnsi="Symbol" w:cs="Arial"/>
          <w:sz w:val="22"/>
          <w:szCs w:val="22"/>
          <w:lang w:val="en-US"/>
        </w:rPr>
        <w:t></w:t>
      </w:r>
      <w:r w:rsidR="002B1308" w:rsidRPr="008259C9">
        <w:rPr>
          <w:rFonts w:ascii="Arial" w:hAnsi="Arial" w:cs="Arial"/>
          <w:sz w:val="22"/>
          <w:szCs w:val="22"/>
          <w:lang w:val="en-US"/>
        </w:rPr>
        <w:t xml:space="preserve">l of Brefeldin A </w:t>
      </w:r>
      <w:r w:rsidR="00BB16D1" w:rsidRPr="008259C9">
        <w:rPr>
          <w:rFonts w:ascii="Arial" w:hAnsi="Arial" w:cs="Arial"/>
          <w:sz w:val="22"/>
          <w:szCs w:val="22"/>
          <w:lang w:val="en-US"/>
        </w:rPr>
        <w:t xml:space="preserve">solution </w:t>
      </w:r>
      <w:r w:rsidR="002B1308" w:rsidRPr="008259C9">
        <w:rPr>
          <w:rFonts w:ascii="Arial" w:hAnsi="Arial" w:cs="Arial"/>
          <w:sz w:val="22"/>
          <w:szCs w:val="22"/>
          <w:lang w:val="en-US"/>
        </w:rPr>
        <w:t xml:space="preserve">(BFA, Sigma-Aldrich) in complete media was added to each tube (final </w:t>
      </w:r>
      <w:r w:rsidR="00BB16D1" w:rsidRPr="008259C9">
        <w:rPr>
          <w:rFonts w:ascii="Arial" w:hAnsi="Arial" w:cs="Arial"/>
          <w:sz w:val="22"/>
          <w:szCs w:val="22"/>
          <w:lang w:val="en-US"/>
        </w:rPr>
        <w:t xml:space="preserve">BFA </w:t>
      </w:r>
      <w:r w:rsidR="002B1308" w:rsidRPr="008259C9">
        <w:rPr>
          <w:rFonts w:ascii="Arial" w:hAnsi="Arial" w:cs="Arial"/>
          <w:sz w:val="22"/>
          <w:szCs w:val="22"/>
          <w:lang w:val="en-US"/>
        </w:rPr>
        <w:t xml:space="preserve">concentration of 10 </w:t>
      </w:r>
      <w:r w:rsidR="002B1308" w:rsidRPr="00F22634">
        <w:rPr>
          <w:rFonts w:ascii="Symbol" w:hAnsi="Symbol" w:cs="Arial"/>
          <w:sz w:val="22"/>
          <w:szCs w:val="22"/>
          <w:lang w:val="en-US"/>
        </w:rPr>
        <w:t></w:t>
      </w:r>
      <w:r w:rsidR="002B1308" w:rsidRPr="008259C9">
        <w:rPr>
          <w:rFonts w:ascii="Arial" w:hAnsi="Arial" w:cs="Arial"/>
          <w:sz w:val="22"/>
          <w:szCs w:val="22"/>
          <w:lang w:val="en-US"/>
        </w:rPr>
        <w:t xml:space="preserve">g/ml). </w:t>
      </w:r>
    </w:p>
    <w:p w14:paraId="193BEB59" w14:textId="1659BD94" w:rsidR="00A4768B" w:rsidRPr="008259C9" w:rsidRDefault="00BB16D1" w:rsidP="00495992">
      <w:pPr>
        <w:pStyle w:val="NormalWeb"/>
        <w:kinsoku w:val="0"/>
        <w:overflowPunct w:val="0"/>
        <w:spacing w:line="480" w:lineRule="auto"/>
        <w:jc w:val="both"/>
        <w:textAlignment w:val="baseline"/>
        <w:rPr>
          <w:rFonts w:ascii="Arial" w:hAnsi="Arial" w:cs="Arial"/>
          <w:sz w:val="22"/>
          <w:szCs w:val="22"/>
          <w:lang w:val="en-US"/>
        </w:rPr>
      </w:pPr>
      <w:r w:rsidRPr="008259C9">
        <w:rPr>
          <w:rFonts w:ascii="Arial" w:hAnsi="Arial" w:cs="Arial"/>
          <w:sz w:val="22"/>
          <w:szCs w:val="22"/>
          <w:lang w:val="en-US"/>
        </w:rPr>
        <w:t xml:space="preserve">Whole blood </w:t>
      </w:r>
      <w:r w:rsidR="00F458B9" w:rsidRPr="008259C9">
        <w:rPr>
          <w:rFonts w:ascii="Arial" w:hAnsi="Arial" w:cs="Arial"/>
          <w:sz w:val="22"/>
          <w:szCs w:val="22"/>
          <w:lang w:val="en-US"/>
        </w:rPr>
        <w:t>was</w:t>
      </w:r>
      <w:r w:rsidRPr="008259C9">
        <w:rPr>
          <w:rFonts w:ascii="Arial" w:hAnsi="Arial" w:cs="Arial"/>
          <w:sz w:val="22"/>
          <w:szCs w:val="22"/>
          <w:lang w:val="en-US"/>
        </w:rPr>
        <w:t xml:space="preserve"> incubated </w:t>
      </w:r>
      <w:r w:rsidR="008D40D3" w:rsidRPr="008259C9">
        <w:rPr>
          <w:rFonts w:ascii="Arial" w:hAnsi="Arial" w:cs="Arial"/>
          <w:sz w:val="22"/>
          <w:szCs w:val="22"/>
          <w:lang w:val="en-US"/>
        </w:rPr>
        <w:t xml:space="preserve">in sterile polystyrene round bottom tubes (Falcon, BD Biosciences, Oxford, UK) with caps loosely attached, </w:t>
      </w:r>
      <w:r w:rsidRPr="008259C9">
        <w:rPr>
          <w:rFonts w:ascii="Arial" w:hAnsi="Arial" w:cs="Arial"/>
          <w:sz w:val="22"/>
          <w:szCs w:val="22"/>
          <w:lang w:val="en-US"/>
        </w:rPr>
        <w:t>for 44h at 37</w:t>
      </w:r>
      <w:r w:rsidRPr="00F22634">
        <w:rPr>
          <w:rFonts w:ascii="Arial" w:hAnsi="Arial" w:cs="Arial"/>
          <w:sz w:val="22"/>
          <w:szCs w:val="22"/>
          <w:vertAlign w:val="superscript"/>
          <w:lang w:val="en-US"/>
        </w:rPr>
        <w:t>o</w:t>
      </w:r>
      <w:r w:rsidRPr="008259C9">
        <w:rPr>
          <w:rFonts w:ascii="Arial" w:hAnsi="Arial" w:cs="Arial"/>
          <w:sz w:val="22"/>
          <w:szCs w:val="22"/>
          <w:lang w:val="en-US"/>
        </w:rPr>
        <w:t>C in a humidified 5% CO</w:t>
      </w:r>
      <w:r w:rsidRPr="00F22634">
        <w:rPr>
          <w:rFonts w:ascii="Arial" w:hAnsi="Arial" w:cs="Arial"/>
          <w:sz w:val="22"/>
          <w:szCs w:val="22"/>
          <w:vertAlign w:val="subscript"/>
          <w:lang w:val="en-US"/>
        </w:rPr>
        <w:t>2</w:t>
      </w:r>
      <w:r w:rsidRPr="008259C9">
        <w:rPr>
          <w:rFonts w:ascii="Arial" w:hAnsi="Arial" w:cs="Arial"/>
          <w:sz w:val="22"/>
          <w:szCs w:val="22"/>
          <w:lang w:val="en-US"/>
        </w:rPr>
        <w:t xml:space="preserve"> </w:t>
      </w:r>
      <w:r w:rsidR="008D40D3" w:rsidRPr="008259C9">
        <w:rPr>
          <w:rFonts w:ascii="Arial" w:hAnsi="Arial" w:cs="Arial"/>
          <w:sz w:val="22"/>
          <w:szCs w:val="22"/>
          <w:lang w:val="en-US"/>
        </w:rPr>
        <w:t>atmosphere.</w:t>
      </w:r>
      <w:r w:rsidR="00F458B9" w:rsidRPr="008259C9">
        <w:rPr>
          <w:rFonts w:ascii="Arial" w:hAnsi="Arial" w:cs="Arial"/>
          <w:sz w:val="22"/>
          <w:szCs w:val="22"/>
          <w:lang w:val="en-US"/>
        </w:rPr>
        <w:t xml:space="preserve"> </w:t>
      </w:r>
    </w:p>
    <w:p w14:paraId="2AC06C2E" w14:textId="7FC26CA2" w:rsidR="00A4768B" w:rsidRPr="00511A76" w:rsidRDefault="00F458B9" w:rsidP="00495992">
      <w:pPr>
        <w:spacing w:before="100" w:beforeAutospacing="1" w:after="100" w:afterAutospacing="1" w:line="480" w:lineRule="auto"/>
        <w:jc w:val="both"/>
        <w:rPr>
          <w:rFonts w:ascii="Arial" w:hAnsi="Arial" w:cs="Arial"/>
          <w:b/>
          <w:lang w:val="en-US"/>
        </w:rPr>
      </w:pPr>
      <w:r w:rsidRPr="00511A76">
        <w:rPr>
          <w:rFonts w:ascii="Arial" w:hAnsi="Arial" w:cs="Arial"/>
          <w:b/>
          <w:lang w:val="en-US"/>
        </w:rPr>
        <w:t>Antibodies and staining</w:t>
      </w:r>
    </w:p>
    <w:p w14:paraId="3D65AC13" w14:textId="5049AB67" w:rsidR="00B55A98" w:rsidRDefault="00B55A98" w:rsidP="00495992">
      <w:pPr>
        <w:spacing w:before="100" w:beforeAutospacing="1" w:after="100" w:afterAutospacing="1" w:line="480" w:lineRule="auto"/>
        <w:jc w:val="both"/>
        <w:rPr>
          <w:rFonts w:ascii="Arial" w:hAnsi="Arial" w:cs="Arial"/>
          <w:lang w:val="en-US"/>
        </w:rPr>
      </w:pPr>
      <w:r w:rsidRPr="00CE32BF">
        <w:rPr>
          <w:rFonts w:ascii="Arial" w:hAnsi="Arial" w:cs="Arial"/>
          <w:lang w:val="en-US"/>
        </w:rPr>
        <w:t xml:space="preserve">Whole blood: </w:t>
      </w:r>
      <w:r w:rsidR="00F458B9" w:rsidRPr="00CE32BF">
        <w:rPr>
          <w:rFonts w:ascii="Arial" w:hAnsi="Arial" w:cs="Arial"/>
          <w:lang w:val="en-US"/>
        </w:rPr>
        <w:t>After 44 hours of incubation, 100</w:t>
      </w:r>
      <w:r w:rsidR="00B651A7">
        <w:rPr>
          <w:rFonts w:ascii="Arial" w:hAnsi="Arial" w:cs="Arial"/>
          <w:lang w:val="en-US"/>
        </w:rPr>
        <w:t xml:space="preserve"> </w:t>
      </w:r>
      <w:r w:rsidR="00F458B9" w:rsidRPr="00B651A7">
        <w:rPr>
          <w:rFonts w:ascii="Symbol" w:hAnsi="Symbol" w:cs="Arial"/>
          <w:lang w:val="en-US"/>
        </w:rPr>
        <w:t></w:t>
      </w:r>
      <w:r w:rsidR="00F458B9" w:rsidRPr="00CE32BF">
        <w:rPr>
          <w:rFonts w:ascii="Arial" w:hAnsi="Arial" w:cs="Arial"/>
          <w:lang w:val="en-US"/>
        </w:rPr>
        <w:t xml:space="preserve">l of whole blood was stained with </w:t>
      </w:r>
      <w:r w:rsidR="0093431C">
        <w:rPr>
          <w:rFonts w:ascii="Arial" w:hAnsi="Arial" w:cs="Arial"/>
          <w:lang w:val="en-US"/>
        </w:rPr>
        <w:t>Fluorescein-</w:t>
      </w:r>
      <w:r w:rsidR="001F24D5" w:rsidRPr="0093431C">
        <w:rPr>
          <w:rFonts w:ascii="Arial" w:hAnsi="Arial" w:cs="Arial"/>
          <w:lang w:val="en-US"/>
        </w:rPr>
        <w:t>Isothiocyanate (FITC)-</w:t>
      </w:r>
      <w:r w:rsidR="001F24D5">
        <w:rPr>
          <w:rFonts w:ascii="Arial" w:hAnsi="Arial" w:cs="Arial"/>
          <w:lang w:val="en-US"/>
        </w:rPr>
        <w:t>conjugated</w:t>
      </w:r>
      <w:r w:rsidR="001F24D5" w:rsidRPr="008259C9">
        <w:rPr>
          <w:rFonts w:ascii="Arial" w:hAnsi="Arial" w:cs="Arial"/>
          <w:lang w:val="en-US"/>
        </w:rPr>
        <w:t xml:space="preserve"> </w:t>
      </w:r>
      <w:r w:rsidR="007308DF">
        <w:rPr>
          <w:rFonts w:ascii="Arial" w:hAnsi="Arial" w:cs="Arial"/>
          <w:lang w:val="en-US"/>
        </w:rPr>
        <w:t>anti-</w:t>
      </w:r>
      <w:r w:rsidR="00F458B9" w:rsidRPr="00CE32BF">
        <w:rPr>
          <w:rFonts w:ascii="Arial" w:hAnsi="Arial" w:cs="Arial"/>
          <w:lang w:val="en-US"/>
        </w:rPr>
        <w:t xml:space="preserve">CD3, </w:t>
      </w:r>
      <w:r w:rsidR="007308DF" w:rsidRPr="007308DF">
        <w:rPr>
          <w:rFonts w:ascii="Arial" w:hAnsi="Arial" w:cs="Arial"/>
          <w:lang w:val="en-US"/>
        </w:rPr>
        <w:t>Peridinin-chlorophyll-protein complex (PerCp)</w:t>
      </w:r>
      <w:r w:rsidR="001F24D5">
        <w:rPr>
          <w:rFonts w:ascii="Arial" w:hAnsi="Arial" w:cs="Arial"/>
          <w:lang w:val="en-US"/>
        </w:rPr>
        <w:t>-conjugated</w:t>
      </w:r>
      <w:r w:rsidR="007308DF" w:rsidRPr="007308DF">
        <w:rPr>
          <w:rFonts w:ascii="Arial" w:hAnsi="Arial" w:cs="Arial"/>
          <w:lang w:val="en-US"/>
        </w:rPr>
        <w:t xml:space="preserve"> </w:t>
      </w:r>
      <w:r w:rsidR="001F24D5">
        <w:rPr>
          <w:rFonts w:ascii="Arial" w:hAnsi="Arial" w:cs="Arial"/>
          <w:lang w:val="en-US"/>
        </w:rPr>
        <w:t>anti-</w:t>
      </w:r>
      <w:r w:rsidR="001F24D5" w:rsidRPr="00CE32BF">
        <w:rPr>
          <w:rFonts w:ascii="Arial" w:hAnsi="Arial" w:cs="Arial"/>
          <w:lang w:val="en-US"/>
        </w:rPr>
        <w:t xml:space="preserve">CD4 </w:t>
      </w:r>
      <w:r w:rsidR="00F458B9" w:rsidRPr="00CE32BF">
        <w:rPr>
          <w:rFonts w:ascii="Arial" w:hAnsi="Arial" w:cs="Arial"/>
          <w:lang w:val="en-US"/>
        </w:rPr>
        <w:t>(</w:t>
      </w:r>
      <w:r w:rsidR="007308DF">
        <w:rPr>
          <w:rFonts w:ascii="Arial" w:hAnsi="Arial" w:cs="Arial"/>
          <w:lang w:val="en-US"/>
        </w:rPr>
        <w:t xml:space="preserve">both from </w:t>
      </w:r>
      <w:r w:rsidR="00F458B9" w:rsidRPr="00CE32BF">
        <w:rPr>
          <w:rFonts w:ascii="Arial" w:hAnsi="Arial" w:cs="Arial"/>
          <w:lang w:val="en-US"/>
        </w:rPr>
        <w:t xml:space="preserve">BioLegend, Cambridge Bioscience, Cambridge, UK), </w:t>
      </w:r>
      <w:r w:rsidR="001F24D5" w:rsidRPr="007308DF">
        <w:rPr>
          <w:rFonts w:ascii="Arial" w:hAnsi="Arial" w:cs="Arial"/>
          <w:lang w:val="en-US"/>
        </w:rPr>
        <w:t>Allophyocyanine(APC)</w:t>
      </w:r>
      <w:r w:rsidR="001F24D5">
        <w:rPr>
          <w:rFonts w:ascii="Arial" w:hAnsi="Arial" w:cs="Arial"/>
          <w:lang w:val="en-US"/>
        </w:rPr>
        <w:t xml:space="preserve">-conjugated </w:t>
      </w:r>
      <w:r w:rsidR="007308DF">
        <w:rPr>
          <w:rFonts w:ascii="Arial" w:hAnsi="Arial" w:cs="Arial"/>
          <w:lang w:val="en-US"/>
        </w:rPr>
        <w:t>anti-</w:t>
      </w:r>
      <w:r w:rsidR="00F458B9" w:rsidRPr="00CE32BF">
        <w:rPr>
          <w:rFonts w:ascii="Arial" w:hAnsi="Arial" w:cs="Arial"/>
          <w:lang w:val="en-US"/>
        </w:rPr>
        <w:t>CD25</w:t>
      </w:r>
      <w:r w:rsidR="001F24D5">
        <w:rPr>
          <w:rFonts w:ascii="Arial" w:hAnsi="Arial" w:cs="Arial"/>
          <w:lang w:val="en-US"/>
        </w:rPr>
        <w:t xml:space="preserve">, </w:t>
      </w:r>
      <w:r w:rsidR="001F24D5" w:rsidRPr="007308DF">
        <w:rPr>
          <w:rFonts w:ascii="Arial" w:hAnsi="Arial" w:cs="Arial"/>
          <w:lang w:val="en-US"/>
        </w:rPr>
        <w:t>Phycoerythrin (PE)</w:t>
      </w:r>
      <w:r w:rsidR="001F24D5">
        <w:rPr>
          <w:rFonts w:ascii="Arial" w:hAnsi="Arial" w:cs="Arial"/>
          <w:lang w:val="en-US"/>
        </w:rPr>
        <w:t xml:space="preserve">- conjugated </w:t>
      </w:r>
      <w:r w:rsidR="007308DF">
        <w:rPr>
          <w:rFonts w:ascii="Arial" w:hAnsi="Arial" w:cs="Arial"/>
          <w:lang w:val="en-US"/>
        </w:rPr>
        <w:t>anti-</w:t>
      </w:r>
      <w:r w:rsidR="001F24D5">
        <w:rPr>
          <w:rFonts w:ascii="Arial" w:hAnsi="Arial" w:cs="Arial"/>
          <w:lang w:val="en-US"/>
        </w:rPr>
        <w:t xml:space="preserve">CD134, </w:t>
      </w:r>
      <w:r w:rsidR="001F24D5" w:rsidRPr="00CE32BF">
        <w:rPr>
          <w:rFonts w:ascii="Arial" w:hAnsi="Arial" w:cs="Arial"/>
          <w:lang w:val="en-US"/>
        </w:rPr>
        <w:t>PE-C7</w:t>
      </w:r>
      <w:r w:rsidR="001F24D5">
        <w:rPr>
          <w:rFonts w:ascii="Arial" w:hAnsi="Arial" w:cs="Arial"/>
          <w:lang w:val="en-US"/>
        </w:rPr>
        <w:t>-conjugated</w:t>
      </w:r>
      <w:r w:rsidR="001F24D5" w:rsidRPr="00CE32BF">
        <w:rPr>
          <w:rFonts w:ascii="Arial" w:hAnsi="Arial" w:cs="Arial"/>
          <w:lang w:val="en-US"/>
        </w:rPr>
        <w:t xml:space="preserve"> </w:t>
      </w:r>
      <w:r w:rsidR="007308DF">
        <w:rPr>
          <w:rFonts w:ascii="Arial" w:hAnsi="Arial" w:cs="Arial"/>
          <w:lang w:val="en-US"/>
        </w:rPr>
        <w:t>anti-</w:t>
      </w:r>
      <w:r w:rsidR="00F458B9" w:rsidRPr="00CE32BF">
        <w:rPr>
          <w:rFonts w:ascii="Arial" w:hAnsi="Arial" w:cs="Arial"/>
          <w:lang w:val="en-US"/>
        </w:rPr>
        <w:t>CD39 (BD Biosciences) for 30min at 4</w:t>
      </w:r>
      <w:r w:rsidR="00F458B9" w:rsidRPr="008F3C37">
        <w:rPr>
          <w:rFonts w:ascii="Arial" w:hAnsi="Arial" w:cs="Arial"/>
          <w:vertAlign w:val="superscript"/>
          <w:lang w:val="en-US"/>
        </w:rPr>
        <w:t>o</w:t>
      </w:r>
      <w:r w:rsidR="00F458B9" w:rsidRPr="00CE32BF">
        <w:rPr>
          <w:rFonts w:ascii="Arial" w:hAnsi="Arial" w:cs="Arial"/>
          <w:lang w:val="en-US"/>
        </w:rPr>
        <w:t xml:space="preserve">C, followed by treatment with BD FACS lysing solution (according to manufacturer’s instructions) and washed twice with FACS buffer (PBS/0.5% BSA, 0.0.1% sodium azide). </w:t>
      </w:r>
      <w:r w:rsidR="00015261">
        <w:rPr>
          <w:rFonts w:ascii="Arial" w:hAnsi="Arial" w:cs="Arial"/>
          <w:lang w:val="en-US"/>
        </w:rPr>
        <w:t xml:space="preserve">For intracellular </w:t>
      </w:r>
      <w:r w:rsidRPr="00CE32BF">
        <w:rPr>
          <w:rFonts w:ascii="Arial" w:hAnsi="Arial" w:cs="Arial"/>
          <w:lang w:val="en-US"/>
        </w:rPr>
        <w:t>FoxP3 staining</w:t>
      </w:r>
      <w:r w:rsidR="00CC5337">
        <w:rPr>
          <w:rFonts w:ascii="Arial" w:hAnsi="Arial" w:cs="Arial"/>
          <w:lang w:val="en-US"/>
        </w:rPr>
        <w:t>, cells were permeabiliz</w:t>
      </w:r>
      <w:r w:rsidR="00015261">
        <w:rPr>
          <w:rFonts w:ascii="Arial" w:hAnsi="Arial" w:cs="Arial"/>
          <w:lang w:val="en-US"/>
        </w:rPr>
        <w:t xml:space="preserve">ed with the Human </w:t>
      </w:r>
      <w:r w:rsidR="00015261" w:rsidRPr="00015261">
        <w:rPr>
          <w:rFonts w:ascii="Arial" w:hAnsi="Arial" w:cs="Arial"/>
          <w:lang w:val="en-US"/>
        </w:rPr>
        <w:t>FoxP3</w:t>
      </w:r>
      <w:r w:rsidR="00015261">
        <w:rPr>
          <w:rFonts w:ascii="Arial" w:hAnsi="Arial" w:cs="Arial"/>
          <w:lang w:val="en-US"/>
        </w:rPr>
        <w:t xml:space="preserve"> Buffer Set </w:t>
      </w:r>
      <w:r w:rsidR="00015261" w:rsidRPr="00CE32BF">
        <w:rPr>
          <w:rFonts w:ascii="Arial" w:hAnsi="Arial" w:cs="Arial"/>
          <w:lang w:val="en-US"/>
        </w:rPr>
        <w:t>(BD Biosciences),</w:t>
      </w:r>
      <w:r w:rsidR="00015261">
        <w:rPr>
          <w:rFonts w:ascii="Arial" w:hAnsi="Arial" w:cs="Arial"/>
          <w:lang w:val="en-US"/>
        </w:rPr>
        <w:t xml:space="preserve"> </w:t>
      </w:r>
      <w:r w:rsidR="00015261" w:rsidRPr="00CE32BF">
        <w:rPr>
          <w:rFonts w:ascii="Arial" w:hAnsi="Arial" w:cs="Arial"/>
          <w:lang w:val="en-US"/>
        </w:rPr>
        <w:t>according to manufacturer’s instructions</w:t>
      </w:r>
      <w:r w:rsidR="00CC5337">
        <w:rPr>
          <w:rFonts w:ascii="Arial" w:hAnsi="Arial" w:cs="Arial"/>
          <w:lang w:val="en-US"/>
        </w:rPr>
        <w:t xml:space="preserve">. Permeabilized </w:t>
      </w:r>
      <w:r w:rsidR="00015261">
        <w:rPr>
          <w:rFonts w:ascii="Arial" w:hAnsi="Arial" w:cs="Arial"/>
          <w:lang w:val="en-US"/>
        </w:rPr>
        <w:t>cells were stained with Alexa 488-conjugated anti-</w:t>
      </w:r>
      <w:r w:rsidR="00015261" w:rsidRPr="00CE32BF">
        <w:rPr>
          <w:rFonts w:ascii="Arial" w:hAnsi="Arial" w:cs="Arial"/>
          <w:lang w:val="en-US"/>
        </w:rPr>
        <w:t>FoxP3</w:t>
      </w:r>
      <w:r w:rsidR="00015261">
        <w:rPr>
          <w:rFonts w:ascii="Arial" w:hAnsi="Arial" w:cs="Arial"/>
          <w:lang w:val="en-US"/>
        </w:rPr>
        <w:t xml:space="preserve"> for </w:t>
      </w:r>
      <w:r w:rsidR="00015261" w:rsidRPr="00CE32BF">
        <w:rPr>
          <w:rFonts w:ascii="Arial" w:hAnsi="Arial" w:cs="Arial"/>
          <w:lang w:val="en-US"/>
        </w:rPr>
        <w:t>30min at 4</w:t>
      </w:r>
      <w:r w:rsidR="00015261" w:rsidRPr="00B651A7">
        <w:rPr>
          <w:rFonts w:ascii="Arial" w:hAnsi="Arial" w:cs="Arial"/>
          <w:vertAlign w:val="superscript"/>
          <w:lang w:val="en-US"/>
        </w:rPr>
        <w:t>o</w:t>
      </w:r>
      <w:r w:rsidR="00015261" w:rsidRPr="00CE32BF">
        <w:rPr>
          <w:rFonts w:ascii="Arial" w:hAnsi="Arial" w:cs="Arial"/>
          <w:lang w:val="en-US"/>
        </w:rPr>
        <w:t>C</w:t>
      </w:r>
      <w:r w:rsidR="00015261">
        <w:rPr>
          <w:rFonts w:ascii="Arial" w:hAnsi="Arial" w:cs="Arial"/>
          <w:lang w:val="en-US"/>
        </w:rPr>
        <w:t>.</w:t>
      </w:r>
    </w:p>
    <w:p w14:paraId="395F9868" w14:textId="7B1DCCB5" w:rsidR="00F458B9" w:rsidRPr="008259C9" w:rsidRDefault="00B55A98" w:rsidP="00495992">
      <w:pPr>
        <w:spacing w:before="100" w:beforeAutospacing="1" w:after="100" w:afterAutospacing="1" w:line="480" w:lineRule="auto"/>
        <w:jc w:val="both"/>
        <w:rPr>
          <w:rFonts w:ascii="Arial" w:hAnsi="Arial" w:cs="Arial"/>
          <w:lang w:val="en-US"/>
        </w:rPr>
      </w:pPr>
      <w:r w:rsidRPr="00CE32BF">
        <w:rPr>
          <w:rFonts w:ascii="Arial" w:hAnsi="Arial" w:cs="Arial"/>
          <w:lang w:val="en-US"/>
        </w:rPr>
        <w:t xml:space="preserve">PBMC: </w:t>
      </w:r>
      <w:r w:rsidR="00F458B9" w:rsidRPr="00CE32BF">
        <w:rPr>
          <w:rFonts w:ascii="Arial" w:hAnsi="Arial" w:cs="Arial"/>
          <w:lang w:val="en-US"/>
        </w:rPr>
        <w:t>After 16 hours of incubation, 100</w:t>
      </w:r>
      <w:r w:rsidR="0093431C">
        <w:rPr>
          <w:rFonts w:ascii="Arial" w:hAnsi="Arial" w:cs="Arial"/>
          <w:lang w:val="en-US"/>
        </w:rPr>
        <w:t xml:space="preserve"> </w:t>
      </w:r>
      <w:r w:rsidR="00F458B9" w:rsidRPr="0093431C">
        <w:rPr>
          <w:rFonts w:ascii="Symbol" w:hAnsi="Symbol" w:cs="Arial"/>
          <w:lang w:val="en-US"/>
        </w:rPr>
        <w:t></w:t>
      </w:r>
      <w:r w:rsidR="00F458B9" w:rsidRPr="00CE32BF">
        <w:rPr>
          <w:rFonts w:ascii="Arial" w:hAnsi="Arial" w:cs="Arial"/>
          <w:lang w:val="en-US"/>
        </w:rPr>
        <w:t>l 20</w:t>
      </w:r>
      <w:r w:rsidR="009873FC">
        <w:rPr>
          <w:rFonts w:ascii="Arial" w:hAnsi="Arial" w:cs="Arial"/>
          <w:lang w:val="en-US"/>
        </w:rPr>
        <w:t xml:space="preserve"> </w:t>
      </w:r>
      <w:r w:rsidR="00F458B9" w:rsidRPr="00CE32BF">
        <w:rPr>
          <w:rFonts w:ascii="Arial" w:hAnsi="Arial" w:cs="Arial"/>
          <w:lang w:val="en-US"/>
        </w:rPr>
        <w:t>mM EDTA was a</w:t>
      </w:r>
      <w:r w:rsidR="001F24D5">
        <w:rPr>
          <w:rFonts w:ascii="Arial" w:hAnsi="Arial" w:cs="Arial"/>
          <w:lang w:val="en-US"/>
        </w:rPr>
        <w:t xml:space="preserve">dded to each tube and incubation </w:t>
      </w:r>
      <w:r w:rsidR="00F458B9" w:rsidRPr="00CE32BF">
        <w:rPr>
          <w:rFonts w:ascii="Arial" w:hAnsi="Arial" w:cs="Arial"/>
          <w:lang w:val="en-US"/>
        </w:rPr>
        <w:t>continued for 10min at 37</w:t>
      </w:r>
      <w:r w:rsidR="00F458B9" w:rsidRPr="0093431C">
        <w:rPr>
          <w:rFonts w:ascii="Arial" w:hAnsi="Arial" w:cs="Arial"/>
          <w:vertAlign w:val="superscript"/>
          <w:lang w:val="en-US"/>
        </w:rPr>
        <w:t>o</w:t>
      </w:r>
      <w:r w:rsidR="00F458B9" w:rsidRPr="00CE32BF">
        <w:rPr>
          <w:rFonts w:ascii="Arial" w:hAnsi="Arial" w:cs="Arial"/>
          <w:lang w:val="en-US"/>
        </w:rPr>
        <w:t xml:space="preserve">C. Cells were then washed with FACS buffer and stained with </w:t>
      </w:r>
      <w:r w:rsidR="001F24D5" w:rsidRPr="00CE32BF">
        <w:rPr>
          <w:rFonts w:ascii="Arial" w:hAnsi="Arial" w:cs="Arial"/>
          <w:lang w:val="en-US"/>
        </w:rPr>
        <w:t>v500</w:t>
      </w:r>
      <w:r w:rsidR="001F24D5">
        <w:rPr>
          <w:rFonts w:ascii="Arial" w:hAnsi="Arial" w:cs="Arial"/>
          <w:lang w:val="en-US"/>
        </w:rPr>
        <w:t>-conjugated anti-</w:t>
      </w:r>
      <w:r w:rsidR="00F458B9" w:rsidRPr="00CE32BF">
        <w:rPr>
          <w:rFonts w:ascii="Arial" w:hAnsi="Arial" w:cs="Arial"/>
          <w:lang w:val="en-US"/>
        </w:rPr>
        <w:t xml:space="preserve">CD3, </w:t>
      </w:r>
      <w:r w:rsidR="001F24D5" w:rsidRPr="00CE32BF">
        <w:rPr>
          <w:rFonts w:ascii="Arial" w:hAnsi="Arial" w:cs="Arial"/>
          <w:lang w:val="en-US"/>
        </w:rPr>
        <w:t>APC</w:t>
      </w:r>
      <w:r w:rsidR="001F24D5">
        <w:rPr>
          <w:rFonts w:ascii="Arial" w:hAnsi="Arial" w:cs="Arial"/>
          <w:lang w:val="en-US"/>
        </w:rPr>
        <w:t>-H7-conjugated anti-</w:t>
      </w:r>
      <w:r w:rsidR="00F458B9" w:rsidRPr="00CE32BF">
        <w:rPr>
          <w:rFonts w:ascii="Arial" w:hAnsi="Arial" w:cs="Arial"/>
          <w:lang w:val="en-US"/>
        </w:rPr>
        <w:t xml:space="preserve">CD8, </w:t>
      </w:r>
      <w:r w:rsidR="001F24D5">
        <w:rPr>
          <w:rFonts w:ascii="Arial" w:hAnsi="Arial" w:cs="Arial"/>
          <w:lang w:val="en-US"/>
        </w:rPr>
        <w:lastRenderedPageBreak/>
        <w:t>PE-conjugated anti-</w:t>
      </w:r>
      <w:r w:rsidR="00F458B9" w:rsidRPr="00CE32BF">
        <w:rPr>
          <w:rFonts w:ascii="Arial" w:hAnsi="Arial" w:cs="Arial"/>
          <w:lang w:val="en-US"/>
        </w:rPr>
        <w:t xml:space="preserve">CD27 (BD Biosciences), </w:t>
      </w:r>
      <w:r w:rsidR="001F24D5" w:rsidRPr="00CE32BF">
        <w:rPr>
          <w:rFonts w:ascii="Arial" w:hAnsi="Arial" w:cs="Arial"/>
          <w:lang w:val="en-US"/>
        </w:rPr>
        <w:t>Peridinin-chlorophyll-protein complex</w:t>
      </w:r>
      <w:r w:rsidR="001F24D5">
        <w:rPr>
          <w:rFonts w:ascii="Arial" w:hAnsi="Arial" w:cs="Arial"/>
          <w:lang w:val="en-US"/>
        </w:rPr>
        <w:t xml:space="preserve"> </w:t>
      </w:r>
      <w:r w:rsidR="001F24D5" w:rsidRPr="00CE32BF">
        <w:rPr>
          <w:rFonts w:ascii="Arial" w:hAnsi="Arial" w:cs="Arial"/>
          <w:lang w:val="en-US"/>
        </w:rPr>
        <w:t>(PerCp)</w:t>
      </w:r>
      <w:r w:rsidR="001F24D5">
        <w:rPr>
          <w:rFonts w:ascii="Arial" w:hAnsi="Arial" w:cs="Arial"/>
          <w:lang w:val="en-US"/>
        </w:rPr>
        <w:t>-conjugated anti-</w:t>
      </w:r>
      <w:r w:rsidR="00F458B9" w:rsidRPr="00CE32BF">
        <w:rPr>
          <w:rFonts w:ascii="Arial" w:hAnsi="Arial" w:cs="Arial"/>
          <w:lang w:val="en-US"/>
        </w:rPr>
        <w:t xml:space="preserve">CD4 (BioLegend), </w:t>
      </w:r>
      <w:r w:rsidR="001F24D5" w:rsidRPr="00CE32BF">
        <w:rPr>
          <w:rFonts w:ascii="Arial" w:hAnsi="Arial" w:cs="Arial"/>
          <w:lang w:val="en-US"/>
        </w:rPr>
        <w:t>ECD</w:t>
      </w:r>
      <w:r w:rsidR="001F24D5">
        <w:rPr>
          <w:rFonts w:ascii="Arial" w:hAnsi="Arial" w:cs="Arial"/>
          <w:lang w:val="en-US"/>
        </w:rPr>
        <w:t>-conjugated anti-</w:t>
      </w:r>
      <w:r w:rsidR="00F458B9" w:rsidRPr="00CE32BF">
        <w:rPr>
          <w:rFonts w:ascii="Arial" w:hAnsi="Arial" w:cs="Arial"/>
          <w:lang w:val="en-US"/>
        </w:rPr>
        <w:t>CD45RA (Beckman Coulter, High Wycombe, UK), live/dead yellow stain (Invitrogen) for 30min at 4</w:t>
      </w:r>
      <w:r w:rsidR="00F458B9" w:rsidRPr="0093431C">
        <w:rPr>
          <w:rFonts w:ascii="Arial" w:hAnsi="Arial" w:cs="Arial"/>
          <w:vertAlign w:val="superscript"/>
          <w:lang w:val="en-US"/>
        </w:rPr>
        <w:t>o</w:t>
      </w:r>
      <w:r w:rsidR="00F458B9" w:rsidRPr="00CE32BF">
        <w:rPr>
          <w:rFonts w:ascii="Arial" w:hAnsi="Arial" w:cs="Arial"/>
          <w:lang w:val="en-US"/>
        </w:rPr>
        <w:t>C, followed by treatment with BD FACS lysing solution and BD FACS permeabilizing Solution II according to manufacturer’s instructions (BD Biosciences). For intracellular cytokine staining, the following antibodies were used: Pacific Blue (PB)</w:t>
      </w:r>
      <w:r w:rsidR="001F24D5">
        <w:rPr>
          <w:rFonts w:ascii="Arial" w:hAnsi="Arial" w:cs="Arial"/>
          <w:lang w:val="en-US"/>
        </w:rPr>
        <w:t>-conjugated anti-</w:t>
      </w:r>
      <w:r w:rsidR="001F24D5" w:rsidRPr="00CE32BF">
        <w:rPr>
          <w:rFonts w:ascii="Arial" w:hAnsi="Arial" w:cs="Arial"/>
          <w:lang w:val="en-US"/>
        </w:rPr>
        <w:t>CD154</w:t>
      </w:r>
      <w:r w:rsidR="00F458B9" w:rsidRPr="00CE32BF">
        <w:rPr>
          <w:rFonts w:ascii="Arial" w:hAnsi="Arial" w:cs="Arial"/>
          <w:lang w:val="en-US"/>
        </w:rPr>
        <w:t xml:space="preserve">, </w:t>
      </w:r>
      <w:r w:rsidR="001F24D5">
        <w:rPr>
          <w:rFonts w:ascii="Arial" w:hAnsi="Arial" w:cs="Arial"/>
          <w:lang w:val="en-US"/>
        </w:rPr>
        <w:t>PE</w:t>
      </w:r>
      <w:r w:rsidR="001F24D5" w:rsidRPr="00CE32BF">
        <w:rPr>
          <w:rFonts w:ascii="Arial" w:hAnsi="Arial" w:cs="Arial"/>
          <w:lang w:val="en-US"/>
        </w:rPr>
        <w:t>-Cy7</w:t>
      </w:r>
      <w:r w:rsidR="001F24D5">
        <w:rPr>
          <w:rFonts w:ascii="Arial" w:hAnsi="Arial" w:cs="Arial"/>
          <w:lang w:val="en-US"/>
        </w:rPr>
        <w:t>-conjugated anti-</w:t>
      </w:r>
      <w:r w:rsidR="00F458B9" w:rsidRPr="00CE32BF">
        <w:rPr>
          <w:rFonts w:ascii="Arial" w:hAnsi="Arial" w:cs="Arial"/>
          <w:lang w:val="en-US"/>
        </w:rPr>
        <w:t>IFN-</w:t>
      </w:r>
      <w:r w:rsidR="00F458B9" w:rsidRPr="009873FC">
        <w:rPr>
          <w:rFonts w:ascii="Symbol" w:hAnsi="Symbol" w:cs="Arial"/>
          <w:lang w:val="en-US"/>
        </w:rPr>
        <w:t></w:t>
      </w:r>
      <w:r w:rsidR="00F458B9" w:rsidRPr="00CE32BF">
        <w:rPr>
          <w:rFonts w:ascii="Arial" w:hAnsi="Arial" w:cs="Arial"/>
          <w:lang w:val="en-US"/>
        </w:rPr>
        <w:t xml:space="preserve"> (BioLegend), </w:t>
      </w:r>
      <w:r w:rsidR="001F24D5" w:rsidRPr="00CE32BF">
        <w:rPr>
          <w:rFonts w:ascii="Arial" w:hAnsi="Arial" w:cs="Arial"/>
          <w:lang w:val="en-US"/>
        </w:rPr>
        <w:t>Alexa 700</w:t>
      </w:r>
      <w:r w:rsidR="001F24D5">
        <w:rPr>
          <w:rFonts w:ascii="Arial" w:hAnsi="Arial" w:cs="Arial"/>
          <w:lang w:val="en-US"/>
        </w:rPr>
        <w:t>-conjugated anti-</w:t>
      </w:r>
      <w:r w:rsidR="00F458B9" w:rsidRPr="00CE32BF">
        <w:rPr>
          <w:rFonts w:ascii="Arial" w:hAnsi="Arial" w:cs="Arial"/>
          <w:lang w:val="en-US"/>
        </w:rPr>
        <w:t>TNF-</w:t>
      </w:r>
      <w:r w:rsidR="00F458B9" w:rsidRPr="009873FC">
        <w:rPr>
          <w:rFonts w:ascii="Symbol" w:hAnsi="Symbol" w:cs="Arial"/>
          <w:lang w:val="en-US"/>
        </w:rPr>
        <w:t></w:t>
      </w:r>
      <w:r w:rsidR="00F458B9" w:rsidRPr="00CE32BF">
        <w:rPr>
          <w:rFonts w:ascii="Arial" w:hAnsi="Arial" w:cs="Arial"/>
          <w:lang w:val="en-US"/>
        </w:rPr>
        <w:t xml:space="preserve">, </w:t>
      </w:r>
      <w:r w:rsidR="001F24D5">
        <w:rPr>
          <w:rFonts w:ascii="Arial" w:hAnsi="Arial" w:cs="Arial"/>
          <w:lang w:val="en-US"/>
        </w:rPr>
        <w:t>FITC-conjugated anti-</w:t>
      </w:r>
      <w:r w:rsidR="00F458B9" w:rsidRPr="00CE32BF">
        <w:rPr>
          <w:rFonts w:ascii="Arial" w:hAnsi="Arial" w:cs="Arial"/>
          <w:lang w:val="en-US"/>
        </w:rPr>
        <w:t>IL-2 (BD Biosciences). After 30min incubation at 4</w:t>
      </w:r>
      <w:r w:rsidR="00F458B9" w:rsidRPr="0093431C">
        <w:rPr>
          <w:rFonts w:ascii="Arial" w:hAnsi="Arial" w:cs="Arial"/>
          <w:vertAlign w:val="superscript"/>
          <w:lang w:val="en-US"/>
        </w:rPr>
        <w:t>o</w:t>
      </w:r>
      <w:r w:rsidR="00F458B9" w:rsidRPr="00CE32BF">
        <w:rPr>
          <w:rFonts w:ascii="Arial" w:hAnsi="Arial" w:cs="Arial"/>
          <w:lang w:val="en-US"/>
        </w:rPr>
        <w:t>C, cells were washed, fixed in 1ml of 0.5% PFA for 5min RT, then washed again and kept at 4</w:t>
      </w:r>
      <w:r w:rsidR="00F458B9" w:rsidRPr="0093431C">
        <w:rPr>
          <w:rFonts w:ascii="Arial" w:hAnsi="Arial" w:cs="Arial"/>
          <w:vertAlign w:val="superscript"/>
          <w:lang w:val="en-US"/>
        </w:rPr>
        <w:t>o</w:t>
      </w:r>
      <w:r w:rsidR="00F458B9" w:rsidRPr="00CE32BF">
        <w:rPr>
          <w:rFonts w:ascii="Arial" w:hAnsi="Arial" w:cs="Arial"/>
          <w:lang w:val="en-US"/>
        </w:rPr>
        <w:t>C in the dark until acquisition.</w:t>
      </w:r>
    </w:p>
    <w:p w14:paraId="0BCA9735" w14:textId="49AE56AD" w:rsidR="00F458B9" w:rsidRPr="00511A76" w:rsidRDefault="002050C7" w:rsidP="00495992">
      <w:pPr>
        <w:spacing w:before="100" w:beforeAutospacing="1" w:after="100" w:afterAutospacing="1" w:line="480" w:lineRule="auto"/>
        <w:jc w:val="both"/>
        <w:rPr>
          <w:rFonts w:ascii="Arial" w:hAnsi="Arial" w:cs="Arial"/>
          <w:b/>
          <w:lang w:val="en-US"/>
        </w:rPr>
      </w:pPr>
      <w:r w:rsidRPr="00511A76">
        <w:rPr>
          <w:rFonts w:ascii="Arial" w:hAnsi="Arial" w:cs="Arial"/>
          <w:b/>
          <w:lang w:val="en-US"/>
        </w:rPr>
        <w:t>Flow-cytometry analysis</w:t>
      </w:r>
    </w:p>
    <w:p w14:paraId="3EB574DB" w14:textId="6ABEA4FC" w:rsidR="00B55A98" w:rsidRDefault="00B55A98" w:rsidP="00495992">
      <w:pPr>
        <w:spacing w:before="100" w:beforeAutospacing="1" w:after="100" w:afterAutospacing="1" w:line="480" w:lineRule="auto"/>
        <w:jc w:val="both"/>
        <w:rPr>
          <w:rFonts w:ascii="Arial" w:hAnsi="Arial" w:cs="Arial"/>
          <w:lang w:val="en-US"/>
        </w:rPr>
      </w:pPr>
      <w:r w:rsidRPr="00CE32BF">
        <w:rPr>
          <w:rFonts w:ascii="Arial" w:hAnsi="Arial" w:cs="Arial"/>
          <w:lang w:val="en-US"/>
        </w:rPr>
        <w:t>For the intracellular cytokine staining, separate gates were set for each activation marker on CD4 and CD8 T-cells (IL-2, degranulation, CD154, TNF-</w:t>
      </w:r>
      <w:r w:rsidRPr="009873FC">
        <w:rPr>
          <w:rFonts w:ascii="Symbol" w:hAnsi="Symbol" w:cs="Arial"/>
          <w:lang w:val="en-US"/>
        </w:rPr>
        <w:t></w:t>
      </w:r>
      <w:r w:rsidRPr="00CE32BF">
        <w:rPr>
          <w:rFonts w:ascii="Arial" w:hAnsi="Arial" w:cs="Arial"/>
          <w:lang w:val="en-US"/>
        </w:rPr>
        <w:t>, and IFN-</w:t>
      </w:r>
      <w:r w:rsidRPr="009873FC">
        <w:rPr>
          <w:rFonts w:ascii="Symbol" w:hAnsi="Symbol" w:cs="Arial"/>
          <w:lang w:val="en-US"/>
        </w:rPr>
        <w:t></w:t>
      </w:r>
      <w:r w:rsidRPr="00CE32BF">
        <w:rPr>
          <w:rFonts w:ascii="Arial" w:hAnsi="Arial" w:cs="Arial"/>
          <w:lang w:val="en-US"/>
        </w:rPr>
        <w:t xml:space="preserve">). Boolean gates were used to identify functional combinations of markers. The sum of all Boolean gates represents the percentage of cells displaying at least one of the markers. These were termed ‘activated’ effector T cells in this study. Whole blood assays were analyzed with respect to CD25, CD39 and CD134 staining of CD4 T </w:t>
      </w:r>
      <w:r w:rsidR="00CC5337" w:rsidRPr="00CC5337">
        <w:rPr>
          <w:rFonts w:ascii="Arial" w:hAnsi="Arial" w:cs="Arial"/>
          <w:lang w:val="en-US"/>
        </w:rPr>
        <w:t>cells where Boolean gates were used for each marker in analogy to the effector cells.</w:t>
      </w:r>
    </w:p>
    <w:p w14:paraId="1F00E6BB" w14:textId="77777777" w:rsidR="007F0663" w:rsidRDefault="007F0663">
      <w:pPr>
        <w:spacing w:after="0" w:line="240" w:lineRule="auto"/>
        <w:rPr>
          <w:rFonts w:ascii="Arial" w:hAnsi="Arial" w:cs="Arial"/>
          <w:b/>
          <w:lang w:val="en-US"/>
        </w:rPr>
      </w:pPr>
      <w:r>
        <w:rPr>
          <w:rFonts w:ascii="Arial" w:hAnsi="Arial" w:cs="Arial"/>
          <w:b/>
          <w:lang w:val="en-US"/>
        </w:rPr>
        <w:br w:type="page"/>
      </w:r>
    </w:p>
    <w:p w14:paraId="51BD9E02" w14:textId="2E840188" w:rsidR="004318C9" w:rsidRPr="004F7BC6" w:rsidRDefault="004F7BC6" w:rsidP="00495992">
      <w:pPr>
        <w:spacing w:before="100" w:beforeAutospacing="1" w:after="100" w:afterAutospacing="1" w:line="480" w:lineRule="auto"/>
        <w:jc w:val="both"/>
        <w:rPr>
          <w:rFonts w:ascii="Arial" w:hAnsi="Arial" w:cs="Arial"/>
          <w:b/>
          <w:lang w:val="en-US"/>
        </w:rPr>
      </w:pPr>
      <w:r w:rsidRPr="004F7BC6">
        <w:rPr>
          <w:rFonts w:ascii="Arial" w:hAnsi="Arial" w:cs="Arial"/>
          <w:b/>
          <w:lang w:val="en-US"/>
        </w:rPr>
        <w:lastRenderedPageBreak/>
        <w:t xml:space="preserve">Supplementary Table </w:t>
      </w:r>
      <w:r w:rsidR="00945627">
        <w:rPr>
          <w:rFonts w:ascii="Arial" w:hAnsi="Arial" w:cs="Arial"/>
          <w:b/>
          <w:lang w:val="en-US"/>
        </w:rPr>
        <w:t>S1</w:t>
      </w:r>
      <w:r w:rsidRPr="004F7BC6">
        <w:rPr>
          <w:rFonts w:ascii="Arial" w:hAnsi="Arial" w:cs="Arial"/>
          <w:b/>
          <w:lang w:val="en-US"/>
        </w:rPr>
        <w:t>:</w:t>
      </w:r>
      <w:r w:rsidR="004318C9" w:rsidRPr="004F7BC6">
        <w:rPr>
          <w:rFonts w:ascii="Arial" w:hAnsi="Arial" w:cs="Arial"/>
          <w:b/>
          <w:lang w:val="en-US"/>
        </w:rPr>
        <w:t xml:space="preserve"> Clinical characteristics of </w:t>
      </w:r>
      <w:r w:rsidR="00DB18C5" w:rsidRPr="004F7BC6">
        <w:rPr>
          <w:rFonts w:ascii="Arial" w:hAnsi="Arial" w:cs="Arial"/>
          <w:b/>
          <w:lang w:val="en-US"/>
        </w:rPr>
        <w:t xml:space="preserve">older </w:t>
      </w:r>
      <w:r w:rsidR="004318C9" w:rsidRPr="004F7BC6">
        <w:rPr>
          <w:rFonts w:ascii="Arial" w:hAnsi="Arial" w:cs="Arial"/>
          <w:b/>
          <w:lang w:val="en-US"/>
        </w:rPr>
        <w:t>CMV</w:t>
      </w:r>
      <w:r w:rsidR="004318C9" w:rsidRPr="004F7BC6">
        <w:rPr>
          <w:rFonts w:ascii="Arial" w:hAnsi="Arial" w:cs="Arial"/>
          <w:b/>
          <w:vertAlign w:val="superscript"/>
          <w:lang w:val="en-US"/>
        </w:rPr>
        <w:t>+</w:t>
      </w:r>
      <w:r w:rsidR="004318C9" w:rsidRPr="004F7BC6">
        <w:rPr>
          <w:rFonts w:ascii="Arial" w:hAnsi="Arial" w:cs="Arial"/>
          <w:b/>
          <w:lang w:val="en-US"/>
        </w:rPr>
        <w:t xml:space="preserve"> participants </w:t>
      </w:r>
      <w:r w:rsidR="00DB18C5" w:rsidRPr="004F7BC6">
        <w:rPr>
          <w:rFonts w:ascii="Arial" w:hAnsi="Arial" w:cs="Arial"/>
          <w:b/>
          <w:lang w:val="en-US"/>
        </w:rPr>
        <w:t xml:space="preserve">(≥ 60 years) </w:t>
      </w:r>
      <w:r w:rsidR="004318C9" w:rsidRPr="004F7BC6">
        <w:rPr>
          <w:rFonts w:ascii="Arial" w:hAnsi="Arial" w:cs="Arial"/>
          <w:b/>
          <w:lang w:val="en-US"/>
        </w:rPr>
        <w:t>included in the analysis of cellular immunity and blood pressure</w:t>
      </w:r>
    </w:p>
    <w:tbl>
      <w:tblPr>
        <w:tblStyle w:val="TableGrid"/>
        <w:tblW w:w="0" w:type="auto"/>
        <w:tblLook w:val="04A0" w:firstRow="1" w:lastRow="0" w:firstColumn="1" w:lastColumn="0" w:noHBand="0" w:noVBand="1"/>
      </w:tblPr>
      <w:tblGrid>
        <w:gridCol w:w="2660"/>
        <w:gridCol w:w="2268"/>
        <w:gridCol w:w="2410"/>
        <w:gridCol w:w="1178"/>
      </w:tblGrid>
      <w:tr w:rsidR="004318C9" w14:paraId="4516FEBA" w14:textId="77777777" w:rsidTr="00A33221">
        <w:tc>
          <w:tcPr>
            <w:tcW w:w="2660" w:type="dxa"/>
          </w:tcPr>
          <w:p w14:paraId="44253E96" w14:textId="5083FC7E" w:rsidR="004318C9" w:rsidRDefault="004318C9" w:rsidP="00983A8F">
            <w:pPr>
              <w:spacing w:before="100" w:beforeAutospacing="1" w:after="100" w:afterAutospacing="1" w:line="480" w:lineRule="auto"/>
              <w:rPr>
                <w:rFonts w:ascii="Arial" w:hAnsi="Arial" w:cs="Arial"/>
                <w:lang w:val="en-US"/>
              </w:rPr>
            </w:pPr>
            <w:r>
              <w:rPr>
                <w:rFonts w:ascii="Arial" w:hAnsi="Arial" w:cs="Arial"/>
                <w:lang w:val="en-US"/>
              </w:rPr>
              <w:t>Variables</w:t>
            </w:r>
          </w:p>
        </w:tc>
        <w:tc>
          <w:tcPr>
            <w:tcW w:w="2268" w:type="dxa"/>
          </w:tcPr>
          <w:p w14:paraId="63DED143" w14:textId="72184611" w:rsidR="004318C9" w:rsidRDefault="00DB18C5" w:rsidP="00983A8F">
            <w:pPr>
              <w:spacing w:before="100" w:beforeAutospacing="1" w:after="100" w:afterAutospacing="1" w:line="480" w:lineRule="auto"/>
              <w:rPr>
                <w:rFonts w:ascii="Arial" w:hAnsi="Arial" w:cs="Arial"/>
                <w:lang w:val="en-US"/>
              </w:rPr>
            </w:pPr>
            <w:r>
              <w:rPr>
                <w:rFonts w:ascii="Arial" w:hAnsi="Arial" w:cs="Arial"/>
                <w:lang w:val="en-US"/>
              </w:rPr>
              <w:t xml:space="preserve">No </w:t>
            </w:r>
            <w:r w:rsidR="004318C9">
              <w:rPr>
                <w:rFonts w:ascii="Arial" w:hAnsi="Arial" w:cs="Arial"/>
                <w:lang w:val="en-US"/>
              </w:rPr>
              <w:t>anti-hypertensive medication (incl. beta blockers)</w:t>
            </w:r>
          </w:p>
        </w:tc>
        <w:tc>
          <w:tcPr>
            <w:tcW w:w="2410" w:type="dxa"/>
          </w:tcPr>
          <w:p w14:paraId="760EF032" w14:textId="28450193" w:rsidR="004318C9" w:rsidRDefault="004318C9" w:rsidP="00983A8F">
            <w:pPr>
              <w:spacing w:before="100" w:beforeAutospacing="1" w:after="100" w:afterAutospacing="1" w:line="480" w:lineRule="auto"/>
              <w:rPr>
                <w:rFonts w:ascii="Arial" w:hAnsi="Arial" w:cs="Arial"/>
                <w:lang w:val="en-US"/>
              </w:rPr>
            </w:pPr>
            <w:r>
              <w:rPr>
                <w:rFonts w:ascii="Arial" w:hAnsi="Arial" w:cs="Arial"/>
                <w:lang w:val="en-US"/>
              </w:rPr>
              <w:t>anti</w:t>
            </w:r>
            <w:r w:rsidR="00983A8F">
              <w:rPr>
                <w:rFonts w:ascii="Arial" w:hAnsi="Arial" w:cs="Arial"/>
                <w:lang w:val="en-US"/>
              </w:rPr>
              <w:t>-</w:t>
            </w:r>
            <w:r>
              <w:rPr>
                <w:rFonts w:ascii="Arial" w:hAnsi="Arial" w:cs="Arial"/>
                <w:lang w:val="en-US"/>
              </w:rPr>
              <w:t>hypertensive medication</w:t>
            </w:r>
            <w:r w:rsidR="00983A8F">
              <w:rPr>
                <w:rFonts w:ascii="Arial" w:hAnsi="Arial" w:cs="Arial"/>
                <w:lang w:val="en-US"/>
              </w:rPr>
              <w:t xml:space="preserve"> (incl. beta blockers)</w:t>
            </w:r>
          </w:p>
        </w:tc>
        <w:tc>
          <w:tcPr>
            <w:tcW w:w="1178" w:type="dxa"/>
          </w:tcPr>
          <w:p w14:paraId="3621ADD8" w14:textId="42C6112A" w:rsidR="004318C9" w:rsidRDefault="00AB0831" w:rsidP="00983A8F">
            <w:pPr>
              <w:spacing w:before="100" w:beforeAutospacing="1" w:after="100" w:afterAutospacing="1" w:line="480" w:lineRule="auto"/>
              <w:rPr>
                <w:rFonts w:ascii="Arial" w:hAnsi="Arial" w:cs="Arial"/>
                <w:lang w:val="en-US"/>
              </w:rPr>
            </w:pPr>
            <w:r>
              <w:rPr>
                <w:rFonts w:ascii="Arial" w:hAnsi="Arial" w:cs="Arial"/>
                <w:lang w:val="en-US"/>
              </w:rPr>
              <w:t>p</w:t>
            </w:r>
            <w:r w:rsidR="00983A8F">
              <w:rPr>
                <w:rFonts w:ascii="Arial" w:hAnsi="Arial" w:cs="Arial"/>
                <w:lang w:val="en-US"/>
              </w:rPr>
              <w:t>-Value</w:t>
            </w:r>
            <w:r w:rsidR="00904230">
              <w:rPr>
                <w:rFonts w:ascii="Arial" w:hAnsi="Arial" w:cs="Arial"/>
                <w:lang w:val="en-US"/>
              </w:rPr>
              <w:t>*</w:t>
            </w:r>
          </w:p>
        </w:tc>
      </w:tr>
      <w:tr w:rsidR="00591237" w14:paraId="740E2E6B" w14:textId="77777777" w:rsidTr="00A33221">
        <w:tc>
          <w:tcPr>
            <w:tcW w:w="2660" w:type="dxa"/>
          </w:tcPr>
          <w:p w14:paraId="1E36F572" w14:textId="1DAE681D" w:rsidR="00591237" w:rsidRDefault="00591237" w:rsidP="00495992">
            <w:pPr>
              <w:spacing w:before="100" w:beforeAutospacing="1" w:after="100" w:afterAutospacing="1" w:line="480" w:lineRule="auto"/>
              <w:jc w:val="both"/>
              <w:rPr>
                <w:rFonts w:ascii="Arial" w:hAnsi="Arial" w:cs="Arial"/>
                <w:lang w:val="en-US"/>
              </w:rPr>
            </w:pPr>
            <w:r>
              <w:rPr>
                <w:rFonts w:ascii="Arial" w:hAnsi="Arial" w:cs="Arial"/>
                <w:lang w:val="en-US"/>
              </w:rPr>
              <w:t>Female sex, n (%)</w:t>
            </w:r>
          </w:p>
        </w:tc>
        <w:tc>
          <w:tcPr>
            <w:tcW w:w="2268" w:type="dxa"/>
          </w:tcPr>
          <w:p w14:paraId="3D72E204" w14:textId="22928410" w:rsidR="00591237" w:rsidRPr="00293317" w:rsidRDefault="00591237" w:rsidP="00293317">
            <w:pPr>
              <w:spacing w:before="100" w:beforeAutospacing="1" w:after="100" w:afterAutospacing="1" w:line="480" w:lineRule="auto"/>
              <w:jc w:val="both"/>
              <w:rPr>
                <w:rFonts w:ascii="Arial" w:hAnsi="Arial" w:cs="Arial"/>
                <w:lang w:val="en-US"/>
              </w:rPr>
            </w:pPr>
            <w:r w:rsidRPr="00293317">
              <w:rPr>
                <w:rFonts w:ascii="Arial" w:hAnsi="Arial" w:cs="Arial"/>
                <w:lang w:val="en-US"/>
              </w:rPr>
              <w:t>15 (68%)</w:t>
            </w:r>
          </w:p>
        </w:tc>
        <w:tc>
          <w:tcPr>
            <w:tcW w:w="2410" w:type="dxa"/>
          </w:tcPr>
          <w:p w14:paraId="7B5597DB" w14:textId="77A2A2CF" w:rsidR="00591237" w:rsidRPr="00293317" w:rsidRDefault="00591237" w:rsidP="00495992">
            <w:pPr>
              <w:spacing w:before="100" w:beforeAutospacing="1" w:after="100" w:afterAutospacing="1" w:line="480" w:lineRule="auto"/>
              <w:jc w:val="both"/>
              <w:rPr>
                <w:rFonts w:ascii="Arial" w:hAnsi="Arial" w:cs="Arial"/>
                <w:lang w:val="en-US"/>
              </w:rPr>
            </w:pPr>
            <w:r w:rsidRPr="00293317">
              <w:rPr>
                <w:rFonts w:ascii="Arial" w:hAnsi="Arial" w:cs="Arial"/>
                <w:lang w:val="en-US"/>
              </w:rPr>
              <w:t>8 (38%)</w:t>
            </w:r>
          </w:p>
        </w:tc>
        <w:tc>
          <w:tcPr>
            <w:tcW w:w="1178" w:type="dxa"/>
            <w:vMerge w:val="restart"/>
          </w:tcPr>
          <w:p w14:paraId="1DAF95AF" w14:textId="5E9E6E38" w:rsidR="00591237" w:rsidRDefault="00DA71B2" w:rsidP="00495992">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r>
              <w:rPr>
                <w:rFonts w:ascii="Arial" w:hAnsi="Arial" w:cs="Arial"/>
                <w:lang w:val="en-US"/>
              </w:rPr>
              <w:t>.</w:t>
            </w:r>
          </w:p>
        </w:tc>
      </w:tr>
      <w:tr w:rsidR="00591237" w14:paraId="39BA84B1" w14:textId="77777777" w:rsidTr="00A33221">
        <w:tc>
          <w:tcPr>
            <w:tcW w:w="2660" w:type="dxa"/>
          </w:tcPr>
          <w:p w14:paraId="258E9ED9" w14:textId="46DCD6B5" w:rsidR="00591237" w:rsidRDefault="00591237" w:rsidP="00495992">
            <w:pPr>
              <w:spacing w:before="100" w:beforeAutospacing="1" w:after="100" w:afterAutospacing="1" w:line="480" w:lineRule="auto"/>
              <w:jc w:val="both"/>
              <w:rPr>
                <w:rFonts w:ascii="Arial" w:hAnsi="Arial" w:cs="Arial"/>
                <w:lang w:val="en-US"/>
              </w:rPr>
            </w:pPr>
            <w:r>
              <w:rPr>
                <w:rFonts w:ascii="Arial" w:hAnsi="Arial" w:cs="Arial"/>
                <w:lang w:val="en-US"/>
              </w:rPr>
              <w:t>Male sex, n (%)</w:t>
            </w:r>
          </w:p>
        </w:tc>
        <w:tc>
          <w:tcPr>
            <w:tcW w:w="2268" w:type="dxa"/>
          </w:tcPr>
          <w:p w14:paraId="6B70A7BF" w14:textId="7F3F8292" w:rsidR="00591237" w:rsidRPr="00293317" w:rsidRDefault="00591237" w:rsidP="00293317">
            <w:pPr>
              <w:spacing w:before="100" w:beforeAutospacing="1" w:after="100" w:afterAutospacing="1" w:line="480" w:lineRule="auto"/>
              <w:jc w:val="both"/>
              <w:rPr>
                <w:rFonts w:ascii="Arial" w:hAnsi="Arial" w:cs="Arial"/>
                <w:lang w:val="en-US"/>
              </w:rPr>
            </w:pPr>
            <w:r w:rsidRPr="00293317">
              <w:rPr>
                <w:rFonts w:ascii="Arial" w:hAnsi="Arial" w:cs="Arial"/>
                <w:lang w:val="en-US"/>
              </w:rPr>
              <w:t>7 (32%)</w:t>
            </w:r>
          </w:p>
        </w:tc>
        <w:tc>
          <w:tcPr>
            <w:tcW w:w="2410" w:type="dxa"/>
          </w:tcPr>
          <w:p w14:paraId="5BE03E13" w14:textId="4A1CC1CD" w:rsidR="00591237" w:rsidRPr="00293317" w:rsidRDefault="00591237" w:rsidP="00293317">
            <w:pPr>
              <w:spacing w:before="100" w:beforeAutospacing="1" w:after="100" w:afterAutospacing="1" w:line="480" w:lineRule="auto"/>
              <w:jc w:val="both"/>
              <w:rPr>
                <w:rFonts w:ascii="Arial" w:hAnsi="Arial" w:cs="Arial"/>
                <w:lang w:val="en-US"/>
              </w:rPr>
            </w:pPr>
            <w:r w:rsidRPr="00293317">
              <w:rPr>
                <w:rFonts w:ascii="Arial" w:hAnsi="Arial" w:cs="Arial"/>
                <w:lang w:val="en-US"/>
              </w:rPr>
              <w:t>13 (62%)</w:t>
            </w:r>
          </w:p>
        </w:tc>
        <w:tc>
          <w:tcPr>
            <w:tcW w:w="1178" w:type="dxa"/>
            <w:vMerge/>
          </w:tcPr>
          <w:p w14:paraId="44BA4A20" w14:textId="5D9AAB5C" w:rsidR="00591237" w:rsidRDefault="00591237" w:rsidP="00495992">
            <w:pPr>
              <w:spacing w:before="100" w:beforeAutospacing="1" w:after="100" w:afterAutospacing="1" w:line="480" w:lineRule="auto"/>
              <w:jc w:val="both"/>
              <w:rPr>
                <w:rFonts w:ascii="Arial" w:hAnsi="Arial" w:cs="Arial"/>
                <w:lang w:val="en-US"/>
              </w:rPr>
            </w:pPr>
          </w:p>
        </w:tc>
      </w:tr>
      <w:tr w:rsidR="00983A8F" w14:paraId="34435C60" w14:textId="77777777" w:rsidTr="00A33221">
        <w:tc>
          <w:tcPr>
            <w:tcW w:w="2660" w:type="dxa"/>
          </w:tcPr>
          <w:p w14:paraId="7CB7A9C8" w14:textId="173B923D" w:rsidR="00983A8F" w:rsidRDefault="00983A8F" w:rsidP="00495992">
            <w:pPr>
              <w:spacing w:before="100" w:beforeAutospacing="1" w:after="100" w:afterAutospacing="1" w:line="480" w:lineRule="auto"/>
              <w:jc w:val="both"/>
              <w:rPr>
                <w:rFonts w:ascii="Arial" w:hAnsi="Arial" w:cs="Arial"/>
                <w:lang w:val="en-US"/>
              </w:rPr>
            </w:pPr>
            <w:r>
              <w:rPr>
                <w:rFonts w:ascii="Arial" w:hAnsi="Arial" w:cs="Arial"/>
                <w:lang w:val="en-US"/>
              </w:rPr>
              <w:t>Age, y</w:t>
            </w:r>
          </w:p>
        </w:tc>
        <w:tc>
          <w:tcPr>
            <w:tcW w:w="2268" w:type="dxa"/>
          </w:tcPr>
          <w:p w14:paraId="2CF9529F" w14:textId="3644AD20" w:rsidR="00983A8F" w:rsidRPr="00293317" w:rsidRDefault="00DB18C5" w:rsidP="00BE6A30">
            <w:pPr>
              <w:spacing w:before="100" w:beforeAutospacing="1" w:after="100" w:afterAutospacing="1" w:line="480" w:lineRule="auto"/>
              <w:jc w:val="both"/>
              <w:rPr>
                <w:rFonts w:ascii="Arial" w:hAnsi="Arial" w:cs="Arial"/>
                <w:lang w:val="en-US"/>
              </w:rPr>
            </w:pPr>
            <w:r w:rsidRPr="00293317">
              <w:rPr>
                <w:rFonts w:ascii="Arial" w:hAnsi="Arial" w:cs="Arial"/>
                <w:lang w:val="en-US"/>
              </w:rPr>
              <w:t>69</w:t>
            </w:r>
            <w:r w:rsidR="004F20B6" w:rsidRPr="00293317">
              <w:rPr>
                <w:rFonts w:ascii="Arial" w:hAnsi="Arial" w:cs="Arial"/>
                <w:lang w:val="en-US"/>
              </w:rPr>
              <w:t>.</w:t>
            </w:r>
            <w:r w:rsidR="00BE6A30" w:rsidRPr="00293317">
              <w:rPr>
                <w:rFonts w:ascii="Arial" w:hAnsi="Arial" w:cs="Arial"/>
                <w:lang w:val="en-US"/>
              </w:rPr>
              <w:t xml:space="preserve">2 </w:t>
            </w:r>
            <w:r w:rsidR="004F20B6" w:rsidRPr="00293317">
              <w:rPr>
                <w:rFonts w:ascii="Arial" w:hAnsi="Arial" w:cs="Arial"/>
                <w:lang w:val="en-US"/>
              </w:rPr>
              <w:t>±</w:t>
            </w:r>
            <w:r w:rsidR="00BE6A30" w:rsidRPr="00293317">
              <w:rPr>
                <w:rFonts w:ascii="Arial" w:hAnsi="Arial" w:cs="Arial"/>
                <w:lang w:val="en-US"/>
              </w:rPr>
              <w:t xml:space="preserve"> </w:t>
            </w:r>
            <w:r w:rsidR="004F20B6" w:rsidRPr="00293317">
              <w:rPr>
                <w:rFonts w:ascii="Arial" w:hAnsi="Arial" w:cs="Arial"/>
                <w:lang w:val="en-US"/>
              </w:rPr>
              <w:t>7.5</w:t>
            </w:r>
          </w:p>
        </w:tc>
        <w:tc>
          <w:tcPr>
            <w:tcW w:w="2410" w:type="dxa"/>
          </w:tcPr>
          <w:p w14:paraId="73E36611" w14:textId="59FCEE1F" w:rsidR="00983A8F" w:rsidRPr="00293317" w:rsidRDefault="00A57957" w:rsidP="00495992">
            <w:pPr>
              <w:spacing w:before="100" w:beforeAutospacing="1" w:after="100" w:afterAutospacing="1" w:line="480" w:lineRule="auto"/>
              <w:jc w:val="both"/>
              <w:rPr>
                <w:rFonts w:ascii="Arial" w:hAnsi="Arial" w:cs="Arial"/>
                <w:lang w:val="en-US"/>
              </w:rPr>
            </w:pPr>
            <w:r>
              <w:rPr>
                <w:rFonts w:ascii="Arial" w:hAnsi="Arial" w:cs="Arial"/>
                <w:lang w:val="en-US"/>
              </w:rPr>
              <w:t>70.6</w:t>
            </w:r>
            <w:r w:rsidR="00BE6A30" w:rsidRPr="00293317">
              <w:rPr>
                <w:rFonts w:ascii="Arial" w:hAnsi="Arial" w:cs="Arial"/>
                <w:lang w:val="en-US"/>
              </w:rPr>
              <w:t xml:space="preserve"> </w:t>
            </w:r>
            <w:r w:rsidR="004F20B6" w:rsidRPr="00293317">
              <w:rPr>
                <w:rFonts w:ascii="Arial" w:hAnsi="Arial" w:cs="Arial"/>
                <w:lang w:val="en-US"/>
              </w:rPr>
              <w:t>±</w:t>
            </w:r>
            <w:r w:rsidR="00BE6A30" w:rsidRPr="00293317">
              <w:rPr>
                <w:rFonts w:ascii="Arial" w:hAnsi="Arial" w:cs="Arial"/>
                <w:lang w:val="en-US"/>
              </w:rPr>
              <w:t xml:space="preserve"> </w:t>
            </w:r>
            <w:r w:rsidR="004F20B6" w:rsidRPr="00293317">
              <w:rPr>
                <w:rFonts w:ascii="Arial" w:hAnsi="Arial" w:cs="Arial"/>
                <w:lang w:val="en-US"/>
              </w:rPr>
              <w:t>7.</w:t>
            </w:r>
            <w:r>
              <w:rPr>
                <w:rFonts w:ascii="Arial" w:hAnsi="Arial" w:cs="Arial"/>
                <w:lang w:val="en-US"/>
              </w:rPr>
              <w:t>7</w:t>
            </w:r>
          </w:p>
        </w:tc>
        <w:tc>
          <w:tcPr>
            <w:tcW w:w="1178" w:type="dxa"/>
          </w:tcPr>
          <w:p w14:paraId="75CF7EE0" w14:textId="6F4BE0EB" w:rsidR="00983A8F" w:rsidRDefault="007C5C76" w:rsidP="00495992">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r>
              <w:rPr>
                <w:rFonts w:ascii="Arial" w:hAnsi="Arial" w:cs="Arial"/>
                <w:lang w:val="en-US"/>
              </w:rPr>
              <w:t>.</w:t>
            </w:r>
          </w:p>
        </w:tc>
      </w:tr>
      <w:tr w:rsidR="00983A8F" w14:paraId="234AE3FF" w14:textId="77777777" w:rsidTr="00A33221">
        <w:tc>
          <w:tcPr>
            <w:tcW w:w="2660" w:type="dxa"/>
          </w:tcPr>
          <w:p w14:paraId="287D03EE" w14:textId="0B197845" w:rsidR="00983A8F" w:rsidRDefault="00983A8F" w:rsidP="00495992">
            <w:pPr>
              <w:spacing w:before="100" w:beforeAutospacing="1" w:after="100" w:afterAutospacing="1" w:line="480" w:lineRule="auto"/>
              <w:jc w:val="both"/>
              <w:rPr>
                <w:rFonts w:ascii="Arial" w:hAnsi="Arial" w:cs="Arial"/>
                <w:lang w:val="en-US"/>
              </w:rPr>
            </w:pPr>
            <w:r>
              <w:rPr>
                <w:rFonts w:ascii="Arial" w:hAnsi="Arial" w:cs="Arial"/>
                <w:lang w:val="en-US"/>
              </w:rPr>
              <w:t>BMI</w:t>
            </w:r>
          </w:p>
        </w:tc>
        <w:tc>
          <w:tcPr>
            <w:tcW w:w="2268" w:type="dxa"/>
          </w:tcPr>
          <w:p w14:paraId="5F0C984D" w14:textId="70A4D8AB" w:rsidR="00983A8F" w:rsidRPr="00293317" w:rsidRDefault="00C94043" w:rsidP="00495992">
            <w:pPr>
              <w:spacing w:before="100" w:beforeAutospacing="1" w:after="100" w:afterAutospacing="1" w:line="480" w:lineRule="auto"/>
              <w:jc w:val="both"/>
              <w:rPr>
                <w:rFonts w:ascii="Arial" w:hAnsi="Arial" w:cs="Arial"/>
                <w:lang w:val="en-US"/>
              </w:rPr>
            </w:pPr>
            <w:r w:rsidRPr="00293317">
              <w:rPr>
                <w:rFonts w:ascii="Arial" w:hAnsi="Arial" w:cs="Arial"/>
                <w:lang w:val="en-US"/>
              </w:rPr>
              <w:t>26.1</w:t>
            </w:r>
            <w:r w:rsidR="00BE6A30" w:rsidRPr="00293317">
              <w:rPr>
                <w:rFonts w:ascii="Arial" w:hAnsi="Arial" w:cs="Arial"/>
                <w:lang w:val="en-US"/>
              </w:rPr>
              <w:t xml:space="preserve"> </w:t>
            </w:r>
            <w:r w:rsidRPr="00293317">
              <w:rPr>
                <w:rFonts w:ascii="Arial" w:hAnsi="Arial" w:cs="Arial"/>
                <w:lang w:val="en-US"/>
              </w:rPr>
              <w:t>±</w:t>
            </w:r>
            <w:r w:rsidR="00BE6A30" w:rsidRPr="00293317">
              <w:rPr>
                <w:rFonts w:ascii="Arial" w:hAnsi="Arial" w:cs="Arial"/>
                <w:lang w:val="en-US"/>
              </w:rPr>
              <w:t xml:space="preserve"> </w:t>
            </w:r>
            <w:r w:rsidRPr="00293317">
              <w:rPr>
                <w:rFonts w:ascii="Arial" w:hAnsi="Arial" w:cs="Arial"/>
                <w:lang w:val="en-US"/>
              </w:rPr>
              <w:t>4.0</w:t>
            </w:r>
          </w:p>
        </w:tc>
        <w:tc>
          <w:tcPr>
            <w:tcW w:w="2410" w:type="dxa"/>
          </w:tcPr>
          <w:p w14:paraId="013BAFD2" w14:textId="5A9EFCE8" w:rsidR="00983A8F" w:rsidRPr="00293317" w:rsidRDefault="00C94043" w:rsidP="00BE6A30">
            <w:pPr>
              <w:spacing w:before="100" w:beforeAutospacing="1" w:after="100" w:afterAutospacing="1" w:line="480" w:lineRule="auto"/>
              <w:jc w:val="both"/>
              <w:rPr>
                <w:rFonts w:ascii="Arial" w:hAnsi="Arial" w:cs="Arial"/>
                <w:lang w:val="en-US"/>
              </w:rPr>
            </w:pPr>
            <w:r w:rsidRPr="00293317">
              <w:rPr>
                <w:rFonts w:ascii="Arial" w:hAnsi="Arial" w:cs="Arial"/>
                <w:lang w:val="en-US"/>
              </w:rPr>
              <w:t>27.</w:t>
            </w:r>
            <w:r w:rsidR="00BE6A30" w:rsidRPr="00293317">
              <w:rPr>
                <w:rFonts w:ascii="Arial" w:hAnsi="Arial" w:cs="Arial"/>
                <w:lang w:val="en-US"/>
              </w:rPr>
              <w:t xml:space="preserve">9 </w:t>
            </w:r>
            <w:r w:rsidRPr="00293317">
              <w:rPr>
                <w:rFonts w:ascii="Arial" w:hAnsi="Arial" w:cs="Arial"/>
                <w:lang w:val="en-US"/>
              </w:rPr>
              <w:t>±</w:t>
            </w:r>
            <w:r w:rsidR="00BE6A30" w:rsidRPr="00293317">
              <w:rPr>
                <w:rFonts w:ascii="Arial" w:hAnsi="Arial" w:cs="Arial"/>
                <w:lang w:val="en-US"/>
              </w:rPr>
              <w:t xml:space="preserve"> </w:t>
            </w:r>
            <w:r w:rsidRPr="00293317">
              <w:rPr>
                <w:rFonts w:ascii="Arial" w:hAnsi="Arial" w:cs="Arial"/>
                <w:lang w:val="en-US"/>
              </w:rPr>
              <w:t>3.</w:t>
            </w:r>
            <w:r w:rsidR="00BE6A30" w:rsidRPr="00293317">
              <w:rPr>
                <w:rFonts w:ascii="Arial" w:hAnsi="Arial" w:cs="Arial"/>
                <w:lang w:val="en-US"/>
              </w:rPr>
              <w:t>5</w:t>
            </w:r>
          </w:p>
        </w:tc>
        <w:tc>
          <w:tcPr>
            <w:tcW w:w="1178" w:type="dxa"/>
          </w:tcPr>
          <w:p w14:paraId="69D4C9B4" w14:textId="4D008D62" w:rsidR="00983A8F" w:rsidRDefault="007C5C76" w:rsidP="00495992">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r>
              <w:rPr>
                <w:rFonts w:ascii="Arial" w:hAnsi="Arial" w:cs="Arial"/>
                <w:lang w:val="en-US"/>
              </w:rPr>
              <w:t>.</w:t>
            </w:r>
          </w:p>
        </w:tc>
      </w:tr>
      <w:tr w:rsidR="00983A8F" w14:paraId="60A24732" w14:textId="77777777" w:rsidTr="00A33221">
        <w:tc>
          <w:tcPr>
            <w:tcW w:w="2660" w:type="dxa"/>
          </w:tcPr>
          <w:p w14:paraId="65DDBEB9" w14:textId="4C922F37" w:rsidR="00983A8F" w:rsidRDefault="00983A8F" w:rsidP="00495992">
            <w:pPr>
              <w:spacing w:before="100" w:beforeAutospacing="1" w:after="100" w:afterAutospacing="1" w:line="480" w:lineRule="auto"/>
              <w:jc w:val="both"/>
              <w:rPr>
                <w:rFonts w:ascii="Arial" w:hAnsi="Arial" w:cs="Arial"/>
                <w:lang w:val="en-US"/>
              </w:rPr>
            </w:pPr>
            <w:r>
              <w:rPr>
                <w:rFonts w:ascii="Arial" w:hAnsi="Arial" w:cs="Arial"/>
                <w:lang w:val="en-US"/>
              </w:rPr>
              <w:t>SP, mm Hg</w:t>
            </w:r>
          </w:p>
        </w:tc>
        <w:tc>
          <w:tcPr>
            <w:tcW w:w="2268" w:type="dxa"/>
          </w:tcPr>
          <w:p w14:paraId="06EAA437" w14:textId="2A92586A" w:rsidR="00983A8F" w:rsidRPr="00293317" w:rsidRDefault="00C94043" w:rsidP="00495992">
            <w:pPr>
              <w:spacing w:before="100" w:beforeAutospacing="1" w:after="100" w:afterAutospacing="1" w:line="480" w:lineRule="auto"/>
              <w:jc w:val="both"/>
              <w:rPr>
                <w:rFonts w:ascii="Arial" w:hAnsi="Arial" w:cs="Arial"/>
                <w:lang w:val="en-US"/>
              </w:rPr>
            </w:pPr>
            <w:r w:rsidRPr="00293317">
              <w:rPr>
                <w:rFonts w:ascii="Arial" w:hAnsi="Arial" w:cs="Arial"/>
                <w:lang w:val="en-US"/>
              </w:rPr>
              <w:t>143</w:t>
            </w:r>
            <w:r w:rsidR="00187F6A" w:rsidRPr="00293317">
              <w:rPr>
                <w:rFonts w:ascii="Arial" w:hAnsi="Arial" w:cs="Arial"/>
                <w:lang w:val="en-US"/>
              </w:rPr>
              <w:t xml:space="preserve"> </w:t>
            </w:r>
            <w:r w:rsidRPr="00293317">
              <w:rPr>
                <w:rFonts w:ascii="Arial" w:hAnsi="Arial" w:cs="Arial"/>
                <w:lang w:val="en-US"/>
              </w:rPr>
              <w:t>±</w:t>
            </w:r>
            <w:r w:rsidR="00187F6A" w:rsidRPr="00293317">
              <w:rPr>
                <w:rFonts w:ascii="Arial" w:hAnsi="Arial" w:cs="Arial"/>
                <w:lang w:val="en-US"/>
              </w:rPr>
              <w:t xml:space="preserve"> </w:t>
            </w:r>
            <w:r w:rsidRPr="00293317">
              <w:rPr>
                <w:rFonts w:ascii="Arial" w:hAnsi="Arial" w:cs="Arial"/>
                <w:lang w:val="en-US"/>
              </w:rPr>
              <w:t>15</w:t>
            </w:r>
          </w:p>
        </w:tc>
        <w:tc>
          <w:tcPr>
            <w:tcW w:w="2410" w:type="dxa"/>
          </w:tcPr>
          <w:p w14:paraId="72AA7FC2" w14:textId="27F3BF45" w:rsidR="00983A8F" w:rsidRPr="00293317" w:rsidRDefault="00681F46" w:rsidP="00187F6A">
            <w:pPr>
              <w:spacing w:before="100" w:beforeAutospacing="1" w:after="100" w:afterAutospacing="1" w:line="480" w:lineRule="auto"/>
              <w:jc w:val="both"/>
              <w:rPr>
                <w:rFonts w:ascii="Arial" w:hAnsi="Arial" w:cs="Arial"/>
                <w:lang w:val="en-US"/>
              </w:rPr>
            </w:pPr>
            <w:r w:rsidRPr="00293317">
              <w:rPr>
                <w:rFonts w:ascii="Arial" w:hAnsi="Arial" w:cs="Arial"/>
                <w:lang w:val="en-US"/>
              </w:rPr>
              <w:t>14</w:t>
            </w:r>
            <w:r w:rsidR="00A57957">
              <w:rPr>
                <w:rFonts w:ascii="Arial" w:hAnsi="Arial" w:cs="Arial"/>
                <w:lang w:val="en-US"/>
              </w:rPr>
              <w:t>4</w:t>
            </w:r>
            <w:r w:rsidR="00187F6A" w:rsidRPr="00293317">
              <w:rPr>
                <w:rFonts w:ascii="Arial" w:hAnsi="Arial" w:cs="Arial"/>
                <w:lang w:val="en-US"/>
              </w:rPr>
              <w:t xml:space="preserve"> </w:t>
            </w:r>
            <w:r w:rsidR="00C94043" w:rsidRPr="00293317">
              <w:rPr>
                <w:rFonts w:ascii="Arial" w:hAnsi="Arial" w:cs="Arial"/>
                <w:lang w:val="en-US"/>
              </w:rPr>
              <w:t>±</w:t>
            </w:r>
            <w:r w:rsidR="00187F6A" w:rsidRPr="00293317">
              <w:rPr>
                <w:rFonts w:ascii="Arial" w:hAnsi="Arial" w:cs="Arial"/>
                <w:lang w:val="en-US"/>
              </w:rPr>
              <w:t xml:space="preserve"> </w:t>
            </w:r>
            <w:r w:rsidR="00C94043" w:rsidRPr="00293317">
              <w:rPr>
                <w:rFonts w:ascii="Arial" w:hAnsi="Arial" w:cs="Arial"/>
                <w:lang w:val="en-US"/>
              </w:rPr>
              <w:t>1</w:t>
            </w:r>
            <w:r w:rsidR="00A57957">
              <w:rPr>
                <w:rFonts w:ascii="Arial" w:hAnsi="Arial" w:cs="Arial"/>
                <w:lang w:val="en-US"/>
              </w:rPr>
              <w:t>4</w:t>
            </w:r>
          </w:p>
        </w:tc>
        <w:tc>
          <w:tcPr>
            <w:tcW w:w="1178" w:type="dxa"/>
          </w:tcPr>
          <w:p w14:paraId="11F43502" w14:textId="293CC5BD" w:rsidR="00983A8F" w:rsidRDefault="007C5C76" w:rsidP="00495992">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r>
              <w:rPr>
                <w:rFonts w:ascii="Arial" w:hAnsi="Arial" w:cs="Arial"/>
                <w:lang w:val="en-US"/>
              </w:rPr>
              <w:t>.</w:t>
            </w:r>
          </w:p>
        </w:tc>
      </w:tr>
      <w:tr w:rsidR="00983A8F" w14:paraId="3341E465" w14:textId="77777777" w:rsidTr="00A33221">
        <w:tc>
          <w:tcPr>
            <w:tcW w:w="2660" w:type="dxa"/>
          </w:tcPr>
          <w:p w14:paraId="3725B2D5" w14:textId="01E3CB11" w:rsidR="00983A8F" w:rsidRDefault="00983A8F" w:rsidP="00495992">
            <w:pPr>
              <w:spacing w:before="100" w:beforeAutospacing="1" w:after="100" w:afterAutospacing="1" w:line="480" w:lineRule="auto"/>
              <w:jc w:val="both"/>
              <w:rPr>
                <w:rFonts w:ascii="Arial" w:hAnsi="Arial" w:cs="Arial"/>
                <w:lang w:val="en-US"/>
              </w:rPr>
            </w:pPr>
            <w:r>
              <w:rPr>
                <w:rFonts w:ascii="Arial" w:hAnsi="Arial" w:cs="Arial"/>
                <w:lang w:val="en-US"/>
              </w:rPr>
              <w:t>DP, mm Hg</w:t>
            </w:r>
          </w:p>
        </w:tc>
        <w:tc>
          <w:tcPr>
            <w:tcW w:w="2268" w:type="dxa"/>
          </w:tcPr>
          <w:p w14:paraId="3C4A5C43" w14:textId="4B00053E" w:rsidR="00983A8F" w:rsidRPr="00293317" w:rsidRDefault="00681F46" w:rsidP="00495992">
            <w:pPr>
              <w:spacing w:before="100" w:beforeAutospacing="1" w:after="100" w:afterAutospacing="1" w:line="480" w:lineRule="auto"/>
              <w:jc w:val="both"/>
              <w:rPr>
                <w:rFonts w:ascii="Arial" w:hAnsi="Arial" w:cs="Arial"/>
                <w:lang w:val="en-US"/>
              </w:rPr>
            </w:pPr>
            <w:r w:rsidRPr="00293317">
              <w:rPr>
                <w:rFonts w:ascii="Arial" w:hAnsi="Arial" w:cs="Arial"/>
                <w:lang w:val="en-US"/>
              </w:rPr>
              <w:t>7</w:t>
            </w:r>
            <w:r w:rsidR="0041495F" w:rsidRPr="00293317">
              <w:rPr>
                <w:rFonts w:ascii="Arial" w:hAnsi="Arial" w:cs="Arial"/>
                <w:lang w:val="en-US"/>
              </w:rPr>
              <w:t>9</w:t>
            </w:r>
            <w:r w:rsidR="00187F6A" w:rsidRPr="00293317">
              <w:rPr>
                <w:rFonts w:ascii="Arial" w:hAnsi="Arial" w:cs="Arial"/>
                <w:lang w:val="en-US"/>
              </w:rPr>
              <w:t xml:space="preserve"> </w:t>
            </w:r>
            <w:r w:rsidR="00C94043" w:rsidRPr="00293317">
              <w:rPr>
                <w:rFonts w:ascii="Arial" w:hAnsi="Arial" w:cs="Arial"/>
                <w:lang w:val="en-US"/>
              </w:rPr>
              <w:t>±</w:t>
            </w:r>
            <w:r w:rsidR="00187F6A" w:rsidRPr="00293317">
              <w:rPr>
                <w:rFonts w:ascii="Arial" w:hAnsi="Arial" w:cs="Arial"/>
                <w:lang w:val="en-US"/>
              </w:rPr>
              <w:t xml:space="preserve"> </w:t>
            </w:r>
            <w:r w:rsidR="00C94043" w:rsidRPr="00293317">
              <w:rPr>
                <w:rFonts w:ascii="Arial" w:hAnsi="Arial" w:cs="Arial"/>
                <w:lang w:val="en-US"/>
              </w:rPr>
              <w:t>11</w:t>
            </w:r>
          </w:p>
        </w:tc>
        <w:tc>
          <w:tcPr>
            <w:tcW w:w="2410" w:type="dxa"/>
          </w:tcPr>
          <w:p w14:paraId="0BC249BD" w14:textId="5E2157B9" w:rsidR="00983A8F" w:rsidRPr="00293317" w:rsidRDefault="00681F46" w:rsidP="0041495F">
            <w:pPr>
              <w:spacing w:before="100" w:beforeAutospacing="1" w:after="100" w:afterAutospacing="1" w:line="480" w:lineRule="auto"/>
              <w:jc w:val="both"/>
              <w:rPr>
                <w:rFonts w:ascii="Arial" w:hAnsi="Arial" w:cs="Arial"/>
                <w:lang w:val="en-US"/>
              </w:rPr>
            </w:pPr>
            <w:r w:rsidRPr="00293317">
              <w:rPr>
                <w:rFonts w:ascii="Arial" w:hAnsi="Arial" w:cs="Arial"/>
                <w:lang w:val="en-US"/>
              </w:rPr>
              <w:t>7</w:t>
            </w:r>
            <w:r w:rsidR="0041495F" w:rsidRPr="00293317">
              <w:rPr>
                <w:rFonts w:ascii="Arial" w:hAnsi="Arial" w:cs="Arial"/>
                <w:lang w:val="en-US"/>
              </w:rPr>
              <w:t>8</w:t>
            </w:r>
            <w:r w:rsidR="00187F6A" w:rsidRPr="00293317">
              <w:rPr>
                <w:rFonts w:ascii="Arial" w:hAnsi="Arial" w:cs="Arial"/>
                <w:lang w:val="en-US"/>
              </w:rPr>
              <w:t xml:space="preserve"> </w:t>
            </w:r>
            <w:r w:rsidR="00C94043" w:rsidRPr="00293317">
              <w:rPr>
                <w:rFonts w:ascii="Arial" w:hAnsi="Arial" w:cs="Arial"/>
                <w:lang w:val="en-US"/>
              </w:rPr>
              <w:t>±</w:t>
            </w:r>
            <w:r w:rsidR="00187F6A" w:rsidRPr="00293317">
              <w:rPr>
                <w:rFonts w:ascii="Arial" w:hAnsi="Arial" w:cs="Arial"/>
                <w:lang w:val="en-US"/>
              </w:rPr>
              <w:t xml:space="preserve"> </w:t>
            </w:r>
            <w:r w:rsidR="00C94043" w:rsidRPr="00293317">
              <w:rPr>
                <w:rFonts w:ascii="Arial" w:hAnsi="Arial" w:cs="Arial"/>
                <w:lang w:val="en-US"/>
              </w:rPr>
              <w:t>9</w:t>
            </w:r>
          </w:p>
        </w:tc>
        <w:tc>
          <w:tcPr>
            <w:tcW w:w="1178" w:type="dxa"/>
          </w:tcPr>
          <w:p w14:paraId="37939181" w14:textId="1B7AB509" w:rsidR="00983A8F" w:rsidRDefault="007C5C76" w:rsidP="00495992">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r>
              <w:rPr>
                <w:rFonts w:ascii="Arial" w:hAnsi="Arial" w:cs="Arial"/>
                <w:lang w:val="en-US"/>
              </w:rPr>
              <w:t>.</w:t>
            </w:r>
          </w:p>
        </w:tc>
      </w:tr>
      <w:tr w:rsidR="00983A8F" w14:paraId="623907CB" w14:textId="77777777" w:rsidTr="00A33221">
        <w:tc>
          <w:tcPr>
            <w:tcW w:w="2660" w:type="dxa"/>
          </w:tcPr>
          <w:p w14:paraId="481FCB2D" w14:textId="40ECE890" w:rsidR="00983A8F" w:rsidRDefault="00983A8F" w:rsidP="00495992">
            <w:pPr>
              <w:spacing w:before="100" w:beforeAutospacing="1" w:after="100" w:afterAutospacing="1" w:line="480" w:lineRule="auto"/>
              <w:jc w:val="both"/>
              <w:rPr>
                <w:rFonts w:ascii="Arial" w:hAnsi="Arial" w:cs="Arial"/>
                <w:lang w:val="en-US"/>
              </w:rPr>
            </w:pPr>
            <w:r>
              <w:rPr>
                <w:rFonts w:ascii="Arial" w:hAnsi="Arial" w:cs="Arial"/>
                <w:lang w:val="en-US"/>
              </w:rPr>
              <w:t>MAP, mm Hg</w:t>
            </w:r>
          </w:p>
        </w:tc>
        <w:tc>
          <w:tcPr>
            <w:tcW w:w="2268" w:type="dxa"/>
          </w:tcPr>
          <w:p w14:paraId="06C24881" w14:textId="6D70AF3E" w:rsidR="00983A8F" w:rsidRPr="00293317" w:rsidRDefault="00C94043" w:rsidP="00495992">
            <w:pPr>
              <w:spacing w:before="100" w:beforeAutospacing="1" w:after="100" w:afterAutospacing="1" w:line="480" w:lineRule="auto"/>
              <w:jc w:val="both"/>
              <w:rPr>
                <w:rFonts w:ascii="Arial" w:hAnsi="Arial" w:cs="Arial"/>
                <w:lang w:val="en-US"/>
              </w:rPr>
            </w:pPr>
            <w:r w:rsidRPr="00293317">
              <w:rPr>
                <w:rFonts w:ascii="Arial" w:hAnsi="Arial" w:cs="Arial"/>
                <w:lang w:val="en-US"/>
              </w:rPr>
              <w:t>100</w:t>
            </w:r>
            <w:r w:rsidR="00187F6A" w:rsidRPr="00293317">
              <w:rPr>
                <w:rFonts w:ascii="Arial" w:hAnsi="Arial" w:cs="Arial"/>
                <w:lang w:val="en-US"/>
              </w:rPr>
              <w:t xml:space="preserve"> </w:t>
            </w:r>
            <w:r w:rsidRPr="00293317">
              <w:rPr>
                <w:rFonts w:ascii="Arial" w:hAnsi="Arial" w:cs="Arial"/>
                <w:lang w:val="en-US"/>
              </w:rPr>
              <w:t>±</w:t>
            </w:r>
            <w:r w:rsidR="00187F6A" w:rsidRPr="00293317">
              <w:rPr>
                <w:rFonts w:ascii="Arial" w:hAnsi="Arial" w:cs="Arial"/>
                <w:lang w:val="en-US"/>
              </w:rPr>
              <w:t xml:space="preserve"> </w:t>
            </w:r>
            <w:r w:rsidRPr="00293317">
              <w:rPr>
                <w:rFonts w:ascii="Arial" w:hAnsi="Arial" w:cs="Arial"/>
                <w:lang w:val="en-US"/>
              </w:rPr>
              <w:t>11</w:t>
            </w:r>
          </w:p>
        </w:tc>
        <w:tc>
          <w:tcPr>
            <w:tcW w:w="2410" w:type="dxa"/>
          </w:tcPr>
          <w:p w14:paraId="66643775" w14:textId="32407515" w:rsidR="00983A8F" w:rsidRPr="00293317" w:rsidRDefault="00C94043" w:rsidP="00187F6A">
            <w:pPr>
              <w:spacing w:before="100" w:beforeAutospacing="1" w:after="100" w:afterAutospacing="1" w:line="480" w:lineRule="auto"/>
              <w:jc w:val="both"/>
              <w:rPr>
                <w:rFonts w:ascii="Arial" w:hAnsi="Arial" w:cs="Arial"/>
                <w:lang w:val="en-US"/>
              </w:rPr>
            </w:pPr>
            <w:r w:rsidRPr="00293317">
              <w:rPr>
                <w:rFonts w:ascii="Arial" w:hAnsi="Arial" w:cs="Arial"/>
                <w:lang w:val="en-US"/>
              </w:rPr>
              <w:t>10</w:t>
            </w:r>
            <w:r w:rsidR="00A57957">
              <w:rPr>
                <w:rFonts w:ascii="Arial" w:hAnsi="Arial" w:cs="Arial"/>
                <w:lang w:val="en-US"/>
              </w:rPr>
              <w:t>0</w:t>
            </w:r>
            <w:r w:rsidR="00187F6A" w:rsidRPr="00293317">
              <w:rPr>
                <w:rFonts w:ascii="Arial" w:hAnsi="Arial" w:cs="Arial"/>
                <w:lang w:val="en-US"/>
              </w:rPr>
              <w:t xml:space="preserve"> </w:t>
            </w:r>
            <w:r w:rsidRPr="00293317">
              <w:rPr>
                <w:rFonts w:ascii="Arial" w:hAnsi="Arial" w:cs="Arial"/>
                <w:lang w:val="en-US"/>
              </w:rPr>
              <w:t>±</w:t>
            </w:r>
            <w:r w:rsidR="00187F6A" w:rsidRPr="00293317">
              <w:rPr>
                <w:rFonts w:ascii="Arial" w:hAnsi="Arial" w:cs="Arial"/>
                <w:lang w:val="en-US"/>
              </w:rPr>
              <w:t xml:space="preserve"> 8</w:t>
            </w:r>
          </w:p>
        </w:tc>
        <w:tc>
          <w:tcPr>
            <w:tcW w:w="1178" w:type="dxa"/>
          </w:tcPr>
          <w:p w14:paraId="2DB05EFE" w14:textId="3C8618BB" w:rsidR="00983A8F" w:rsidRDefault="007C5C76" w:rsidP="00495992">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r>
              <w:rPr>
                <w:rFonts w:ascii="Arial" w:hAnsi="Arial" w:cs="Arial"/>
                <w:lang w:val="en-US"/>
              </w:rPr>
              <w:t>.</w:t>
            </w:r>
          </w:p>
        </w:tc>
      </w:tr>
      <w:tr w:rsidR="00983A8F" w14:paraId="1D4AD60D" w14:textId="77777777" w:rsidTr="00A33221">
        <w:tc>
          <w:tcPr>
            <w:tcW w:w="2660" w:type="dxa"/>
          </w:tcPr>
          <w:p w14:paraId="3D8ED9EF" w14:textId="37FBEAF7" w:rsidR="00983A8F" w:rsidRDefault="00A33221" w:rsidP="00495992">
            <w:pPr>
              <w:spacing w:before="100" w:beforeAutospacing="1" w:after="100" w:afterAutospacing="1" w:line="480" w:lineRule="auto"/>
              <w:jc w:val="both"/>
              <w:rPr>
                <w:rFonts w:ascii="Arial" w:hAnsi="Arial" w:cs="Arial"/>
                <w:lang w:val="en-US"/>
              </w:rPr>
            </w:pPr>
            <w:proofErr w:type="gramStart"/>
            <w:r>
              <w:rPr>
                <w:rFonts w:ascii="Arial" w:hAnsi="Arial" w:cs="Arial"/>
                <w:lang w:val="en-US"/>
              </w:rPr>
              <w:t>oral</w:t>
            </w:r>
            <w:proofErr w:type="gramEnd"/>
            <w:r>
              <w:rPr>
                <w:rFonts w:ascii="Arial" w:hAnsi="Arial" w:cs="Arial"/>
                <w:lang w:val="en-US"/>
              </w:rPr>
              <w:t xml:space="preserve"> </w:t>
            </w:r>
            <w:r w:rsidR="00681F46">
              <w:rPr>
                <w:rFonts w:ascii="Arial" w:hAnsi="Arial" w:cs="Arial"/>
                <w:lang w:val="en-US"/>
              </w:rPr>
              <w:t>antihyperglycemic</w:t>
            </w:r>
            <w:r w:rsidRPr="00A33221">
              <w:rPr>
                <w:rFonts w:ascii="Arial" w:eastAsiaTheme="minorEastAsia" w:hAnsi="Arial" w:cs="Arial"/>
                <w:sz w:val="24"/>
                <w:szCs w:val="24"/>
                <w:vertAlign w:val="superscript"/>
                <w:lang w:val="en-US" w:eastAsia="en-US"/>
              </w:rPr>
              <w:t>†</w:t>
            </w:r>
            <w:r w:rsidR="00983A8F">
              <w:rPr>
                <w:rFonts w:ascii="Arial" w:hAnsi="Arial" w:cs="Arial"/>
                <w:lang w:val="en-US"/>
              </w:rPr>
              <w:t>, n (%)</w:t>
            </w:r>
          </w:p>
        </w:tc>
        <w:tc>
          <w:tcPr>
            <w:tcW w:w="2268" w:type="dxa"/>
          </w:tcPr>
          <w:p w14:paraId="2C4B7852" w14:textId="2385D63C" w:rsidR="00983A8F" w:rsidRPr="00293317" w:rsidRDefault="0030677A" w:rsidP="00EC68CC">
            <w:pPr>
              <w:spacing w:before="100" w:beforeAutospacing="1" w:after="100" w:afterAutospacing="1" w:line="480" w:lineRule="auto"/>
              <w:jc w:val="both"/>
              <w:rPr>
                <w:rFonts w:ascii="Arial" w:hAnsi="Arial" w:cs="Arial"/>
                <w:lang w:val="en-US"/>
              </w:rPr>
            </w:pPr>
            <w:r w:rsidRPr="00293317">
              <w:rPr>
                <w:rFonts w:ascii="Arial" w:hAnsi="Arial" w:cs="Arial"/>
                <w:lang w:val="en-US"/>
              </w:rPr>
              <w:t>1</w:t>
            </w:r>
          </w:p>
        </w:tc>
        <w:tc>
          <w:tcPr>
            <w:tcW w:w="2410" w:type="dxa"/>
          </w:tcPr>
          <w:p w14:paraId="6653BB1A" w14:textId="43A8C17D" w:rsidR="00983A8F" w:rsidRPr="00293317" w:rsidRDefault="00681F46" w:rsidP="00EC68CC">
            <w:pPr>
              <w:spacing w:before="100" w:beforeAutospacing="1" w:after="100" w:afterAutospacing="1" w:line="480" w:lineRule="auto"/>
              <w:jc w:val="both"/>
              <w:rPr>
                <w:rFonts w:ascii="Arial" w:hAnsi="Arial" w:cs="Arial"/>
                <w:lang w:val="en-US"/>
              </w:rPr>
            </w:pPr>
            <w:r w:rsidRPr="00293317">
              <w:rPr>
                <w:rFonts w:ascii="Arial" w:hAnsi="Arial" w:cs="Arial"/>
                <w:lang w:val="en-US"/>
              </w:rPr>
              <w:t>1</w:t>
            </w:r>
          </w:p>
        </w:tc>
        <w:tc>
          <w:tcPr>
            <w:tcW w:w="1178" w:type="dxa"/>
          </w:tcPr>
          <w:p w14:paraId="353DC211" w14:textId="7F6F882F" w:rsidR="00983A8F" w:rsidRDefault="007C5C76" w:rsidP="00495992">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r>
              <w:rPr>
                <w:rFonts w:ascii="Arial" w:hAnsi="Arial" w:cs="Arial"/>
                <w:lang w:val="en-US"/>
              </w:rPr>
              <w:t>.</w:t>
            </w:r>
          </w:p>
        </w:tc>
      </w:tr>
      <w:tr w:rsidR="00983A8F" w14:paraId="61F63B8D" w14:textId="77777777" w:rsidTr="00A33221">
        <w:tc>
          <w:tcPr>
            <w:tcW w:w="2660" w:type="dxa"/>
          </w:tcPr>
          <w:p w14:paraId="7E725417" w14:textId="47CA2E86" w:rsidR="00983A8F" w:rsidRDefault="007C5C76" w:rsidP="007C5C76">
            <w:pPr>
              <w:spacing w:before="100" w:beforeAutospacing="1" w:after="100" w:afterAutospacing="1" w:line="480" w:lineRule="auto"/>
              <w:jc w:val="both"/>
              <w:rPr>
                <w:rFonts w:ascii="Arial" w:hAnsi="Arial" w:cs="Arial"/>
                <w:lang w:val="en-US"/>
              </w:rPr>
            </w:pPr>
            <w:r>
              <w:rPr>
                <w:rFonts w:ascii="Arial" w:hAnsi="Arial" w:cs="Arial"/>
                <w:lang w:val="en-US"/>
              </w:rPr>
              <w:t>Pos. smoking history, n (%)</w:t>
            </w:r>
          </w:p>
        </w:tc>
        <w:tc>
          <w:tcPr>
            <w:tcW w:w="2268" w:type="dxa"/>
          </w:tcPr>
          <w:p w14:paraId="0310F2F7" w14:textId="6378360A" w:rsidR="00983A8F" w:rsidRPr="00293317" w:rsidRDefault="00CE3F18" w:rsidP="00495992">
            <w:pPr>
              <w:spacing w:before="100" w:beforeAutospacing="1" w:after="100" w:afterAutospacing="1" w:line="480" w:lineRule="auto"/>
              <w:jc w:val="both"/>
              <w:rPr>
                <w:rFonts w:ascii="Arial" w:hAnsi="Arial" w:cs="Arial"/>
                <w:lang w:val="en-US"/>
              </w:rPr>
            </w:pPr>
            <w:r w:rsidRPr="00293317">
              <w:rPr>
                <w:rFonts w:ascii="Arial" w:hAnsi="Arial" w:cs="Arial"/>
                <w:lang w:val="en-US"/>
              </w:rPr>
              <w:t>9</w:t>
            </w:r>
          </w:p>
        </w:tc>
        <w:tc>
          <w:tcPr>
            <w:tcW w:w="2410" w:type="dxa"/>
          </w:tcPr>
          <w:p w14:paraId="3C45A3E7" w14:textId="368B92EF" w:rsidR="00983A8F" w:rsidRPr="00293317" w:rsidRDefault="00CE3F18" w:rsidP="00495992">
            <w:pPr>
              <w:spacing w:before="100" w:beforeAutospacing="1" w:after="100" w:afterAutospacing="1" w:line="480" w:lineRule="auto"/>
              <w:jc w:val="both"/>
              <w:rPr>
                <w:rFonts w:ascii="Arial" w:hAnsi="Arial" w:cs="Arial"/>
                <w:lang w:val="en-US"/>
              </w:rPr>
            </w:pPr>
            <w:r w:rsidRPr="00293317">
              <w:rPr>
                <w:rFonts w:ascii="Arial" w:hAnsi="Arial" w:cs="Arial"/>
                <w:lang w:val="en-US"/>
              </w:rPr>
              <w:t>10</w:t>
            </w:r>
          </w:p>
        </w:tc>
        <w:tc>
          <w:tcPr>
            <w:tcW w:w="1178" w:type="dxa"/>
          </w:tcPr>
          <w:p w14:paraId="56ADBB45" w14:textId="74C87380" w:rsidR="00983A8F" w:rsidRDefault="007C5C76" w:rsidP="00495992">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r>
              <w:rPr>
                <w:rFonts w:ascii="Arial" w:hAnsi="Arial" w:cs="Arial"/>
                <w:lang w:val="en-US"/>
              </w:rPr>
              <w:t>.</w:t>
            </w:r>
          </w:p>
        </w:tc>
      </w:tr>
    </w:tbl>
    <w:p w14:paraId="579EDA45" w14:textId="77777777" w:rsidR="00A33221" w:rsidRDefault="00904230" w:rsidP="00A33221">
      <w:pPr>
        <w:spacing w:before="100" w:beforeAutospacing="1" w:after="100" w:afterAutospacing="1" w:line="480" w:lineRule="auto"/>
        <w:jc w:val="both"/>
        <w:rPr>
          <w:rFonts w:ascii="Arial" w:eastAsiaTheme="minorEastAsia" w:hAnsi="Arial" w:cs="Arial"/>
          <w:sz w:val="24"/>
          <w:szCs w:val="24"/>
          <w:lang w:val="en-US" w:eastAsia="en-US"/>
        </w:rPr>
      </w:pPr>
      <w:r>
        <w:rPr>
          <w:rFonts w:ascii="Arial" w:hAnsi="Arial" w:cs="Arial"/>
          <w:lang w:val="en-US"/>
        </w:rPr>
        <w:t>BMI=body mass index, SP=systolic blood pressure, DP=diastolic blood pressure, MAP = mean arterial pressure, calculated as DP + ((SP-DP)/3)</w:t>
      </w:r>
      <w:r w:rsidR="00A33221" w:rsidRPr="00A33221">
        <w:rPr>
          <w:rFonts w:ascii="Arial" w:eastAsiaTheme="minorEastAsia" w:hAnsi="Arial" w:cs="Arial"/>
          <w:sz w:val="24"/>
          <w:szCs w:val="24"/>
          <w:lang w:val="en-US" w:eastAsia="en-US"/>
        </w:rPr>
        <w:t xml:space="preserve"> </w:t>
      </w:r>
    </w:p>
    <w:p w14:paraId="49F17F85" w14:textId="190DC6CF" w:rsidR="00A33221" w:rsidRPr="008F3C37" w:rsidRDefault="00A33221" w:rsidP="004318C9">
      <w:pPr>
        <w:spacing w:before="100" w:beforeAutospacing="1" w:after="100" w:afterAutospacing="1" w:line="480" w:lineRule="auto"/>
        <w:jc w:val="both"/>
        <w:rPr>
          <w:rFonts w:ascii="Arial" w:eastAsiaTheme="minorEastAsia" w:hAnsi="Arial" w:cs="Arial"/>
          <w:szCs w:val="24"/>
          <w:lang w:val="en-US" w:eastAsia="en-US"/>
        </w:rPr>
      </w:pPr>
      <w:r w:rsidRPr="008F3C37">
        <w:rPr>
          <w:rFonts w:ascii="Arial" w:eastAsiaTheme="minorEastAsia" w:hAnsi="Arial" w:cs="Arial"/>
          <w:szCs w:val="24"/>
          <w:lang w:val="en-US" w:eastAsia="en-US"/>
        </w:rPr>
        <w:t>*</w:t>
      </w:r>
      <w:r w:rsidR="00A747E5">
        <w:rPr>
          <w:rFonts w:ascii="Arial" w:eastAsiaTheme="minorEastAsia" w:hAnsi="Arial" w:cs="Arial"/>
          <w:szCs w:val="24"/>
          <w:lang w:val="en-US" w:eastAsia="en-US"/>
        </w:rPr>
        <w:t xml:space="preserve">Non-parametric test with </w:t>
      </w:r>
      <w:r w:rsidRPr="008F3C37">
        <w:rPr>
          <w:rFonts w:ascii="Arial" w:eastAsiaTheme="minorEastAsia" w:hAnsi="Arial" w:cs="Arial"/>
          <w:szCs w:val="24"/>
          <w:lang w:val="en-US" w:eastAsia="en-US"/>
        </w:rPr>
        <w:t>two-sided significance level p=</w:t>
      </w:r>
      <w:r w:rsidR="00A747E5">
        <w:rPr>
          <w:rFonts w:ascii="Arial" w:eastAsiaTheme="minorEastAsia" w:hAnsi="Arial" w:cs="Arial"/>
          <w:szCs w:val="24"/>
          <w:lang w:val="en-US" w:eastAsia="en-US"/>
        </w:rPr>
        <w:t>0</w:t>
      </w:r>
      <w:r w:rsidRPr="008F3C37">
        <w:rPr>
          <w:rFonts w:ascii="Arial" w:eastAsiaTheme="minorEastAsia" w:hAnsi="Arial" w:cs="Arial"/>
          <w:szCs w:val="24"/>
          <w:lang w:val="en-US" w:eastAsia="en-US"/>
        </w:rPr>
        <w:t xml:space="preserve">.05 or Pearson Chi-Square test, as appropriate; </w:t>
      </w:r>
      <w:r w:rsidRPr="008F3C37">
        <w:rPr>
          <w:rFonts w:ascii="Arial" w:eastAsiaTheme="minorEastAsia" w:hAnsi="Arial" w:cs="Arial"/>
          <w:szCs w:val="24"/>
          <w:vertAlign w:val="superscript"/>
          <w:lang w:val="en-US" w:eastAsia="en-US"/>
        </w:rPr>
        <w:t>†</w:t>
      </w:r>
      <w:r w:rsidRPr="008F3C37">
        <w:rPr>
          <w:rFonts w:ascii="Arial" w:eastAsiaTheme="minorEastAsia" w:hAnsi="Arial" w:cs="Arial"/>
          <w:szCs w:val="24"/>
          <w:lang w:val="en-US" w:eastAsia="en-US"/>
        </w:rPr>
        <w:t>participants with insulin dependent diabetes were not included in the study</w:t>
      </w:r>
    </w:p>
    <w:p w14:paraId="272AF93D" w14:textId="77777777" w:rsidR="004F20B6" w:rsidRDefault="004F20B6">
      <w:pPr>
        <w:spacing w:after="0" w:line="240" w:lineRule="auto"/>
        <w:rPr>
          <w:rFonts w:ascii="Arial" w:hAnsi="Arial" w:cs="Arial"/>
          <w:b/>
          <w:lang w:val="en-US"/>
        </w:rPr>
      </w:pPr>
      <w:r>
        <w:rPr>
          <w:rFonts w:ascii="Arial" w:hAnsi="Arial" w:cs="Arial"/>
          <w:b/>
          <w:lang w:val="en-US"/>
        </w:rPr>
        <w:br w:type="page"/>
      </w:r>
    </w:p>
    <w:p w14:paraId="6CB4C6E4" w14:textId="7EE063CE" w:rsidR="004318C9" w:rsidRPr="004F7BC6" w:rsidRDefault="004F7BC6" w:rsidP="004318C9">
      <w:pPr>
        <w:spacing w:before="100" w:beforeAutospacing="1" w:after="100" w:afterAutospacing="1" w:line="480" w:lineRule="auto"/>
        <w:jc w:val="both"/>
        <w:rPr>
          <w:rFonts w:ascii="Arial" w:hAnsi="Arial" w:cs="Arial"/>
          <w:b/>
          <w:lang w:val="en-US"/>
        </w:rPr>
      </w:pPr>
      <w:r w:rsidRPr="004F7BC6">
        <w:rPr>
          <w:rFonts w:ascii="Arial" w:hAnsi="Arial" w:cs="Arial"/>
          <w:b/>
          <w:lang w:val="en-US"/>
        </w:rPr>
        <w:lastRenderedPageBreak/>
        <w:t xml:space="preserve">Supplementary Table </w:t>
      </w:r>
      <w:r w:rsidR="00945627">
        <w:rPr>
          <w:rFonts w:ascii="Arial" w:hAnsi="Arial" w:cs="Arial"/>
          <w:b/>
          <w:lang w:val="en-US"/>
        </w:rPr>
        <w:t>S2</w:t>
      </w:r>
      <w:r w:rsidRPr="004F7BC6">
        <w:rPr>
          <w:rFonts w:ascii="Arial" w:hAnsi="Arial" w:cs="Arial"/>
          <w:b/>
          <w:lang w:val="en-US"/>
        </w:rPr>
        <w:t>:</w:t>
      </w:r>
      <w:r w:rsidR="004318C9" w:rsidRPr="004F7BC6">
        <w:rPr>
          <w:rFonts w:ascii="Arial" w:hAnsi="Arial" w:cs="Arial"/>
          <w:b/>
          <w:lang w:val="en-US"/>
        </w:rPr>
        <w:t xml:space="preserve"> Clinical characteristics of </w:t>
      </w:r>
      <w:r w:rsidR="00DB18C5" w:rsidRPr="004F7BC6">
        <w:rPr>
          <w:rFonts w:ascii="Arial" w:hAnsi="Arial" w:cs="Arial"/>
          <w:b/>
          <w:lang w:val="en-US"/>
        </w:rPr>
        <w:t xml:space="preserve">older </w:t>
      </w:r>
      <w:r w:rsidR="004318C9" w:rsidRPr="004F7BC6">
        <w:rPr>
          <w:rFonts w:ascii="Arial" w:hAnsi="Arial" w:cs="Arial"/>
          <w:b/>
          <w:lang w:val="en-US"/>
        </w:rPr>
        <w:t>CMV</w:t>
      </w:r>
      <w:r w:rsidR="004318C9" w:rsidRPr="004F7BC6">
        <w:rPr>
          <w:rFonts w:ascii="Arial" w:hAnsi="Arial" w:cs="Arial"/>
          <w:b/>
          <w:vertAlign w:val="superscript"/>
          <w:lang w:val="en-US"/>
        </w:rPr>
        <w:t>-</w:t>
      </w:r>
      <w:r w:rsidR="004318C9" w:rsidRPr="004F7BC6">
        <w:rPr>
          <w:rFonts w:ascii="Arial" w:hAnsi="Arial" w:cs="Arial"/>
          <w:b/>
          <w:lang w:val="en-US"/>
        </w:rPr>
        <w:t xml:space="preserve"> participants </w:t>
      </w:r>
      <w:r w:rsidR="00DB18C5" w:rsidRPr="004F7BC6">
        <w:rPr>
          <w:rFonts w:ascii="Arial" w:hAnsi="Arial" w:cs="Arial"/>
          <w:b/>
          <w:lang w:val="en-US"/>
        </w:rPr>
        <w:t xml:space="preserve">(≥ 60 years) </w:t>
      </w:r>
      <w:r w:rsidR="004318C9" w:rsidRPr="004F7BC6">
        <w:rPr>
          <w:rFonts w:ascii="Arial" w:hAnsi="Arial" w:cs="Arial"/>
          <w:b/>
          <w:lang w:val="en-US"/>
        </w:rPr>
        <w:t>included in the analysis of cellular immunity and blood pressure</w:t>
      </w:r>
    </w:p>
    <w:tbl>
      <w:tblPr>
        <w:tblStyle w:val="TableGrid"/>
        <w:tblW w:w="0" w:type="auto"/>
        <w:tblLook w:val="04A0" w:firstRow="1" w:lastRow="0" w:firstColumn="1" w:lastColumn="0" w:noHBand="0" w:noVBand="1"/>
      </w:tblPr>
      <w:tblGrid>
        <w:gridCol w:w="3085"/>
        <w:gridCol w:w="2268"/>
        <w:gridCol w:w="1985"/>
        <w:gridCol w:w="1178"/>
      </w:tblGrid>
      <w:tr w:rsidR="00681F46" w14:paraId="0485829C" w14:textId="77777777" w:rsidTr="00763E0E">
        <w:tc>
          <w:tcPr>
            <w:tcW w:w="3085" w:type="dxa"/>
          </w:tcPr>
          <w:p w14:paraId="195BFD2B" w14:textId="77777777" w:rsidR="00681F46" w:rsidRDefault="00681F46" w:rsidP="00681F46">
            <w:pPr>
              <w:spacing w:before="100" w:beforeAutospacing="1" w:after="100" w:afterAutospacing="1" w:line="480" w:lineRule="auto"/>
              <w:rPr>
                <w:rFonts w:ascii="Arial" w:hAnsi="Arial" w:cs="Arial"/>
                <w:lang w:val="en-US"/>
              </w:rPr>
            </w:pPr>
            <w:r>
              <w:rPr>
                <w:rFonts w:ascii="Arial" w:hAnsi="Arial" w:cs="Arial"/>
                <w:lang w:val="en-US"/>
              </w:rPr>
              <w:t>Variables</w:t>
            </w:r>
          </w:p>
        </w:tc>
        <w:tc>
          <w:tcPr>
            <w:tcW w:w="2268" w:type="dxa"/>
          </w:tcPr>
          <w:p w14:paraId="790C2313" w14:textId="692E343A" w:rsidR="00681F46" w:rsidRDefault="00904230" w:rsidP="00681F46">
            <w:pPr>
              <w:spacing w:before="100" w:beforeAutospacing="1" w:after="100" w:afterAutospacing="1" w:line="480" w:lineRule="auto"/>
              <w:rPr>
                <w:rFonts w:ascii="Arial" w:hAnsi="Arial" w:cs="Arial"/>
                <w:lang w:val="en-US"/>
              </w:rPr>
            </w:pPr>
            <w:r>
              <w:rPr>
                <w:rFonts w:ascii="Arial" w:hAnsi="Arial" w:cs="Arial"/>
                <w:lang w:val="en-US"/>
              </w:rPr>
              <w:t xml:space="preserve">No </w:t>
            </w:r>
            <w:r w:rsidR="00681F46">
              <w:rPr>
                <w:rFonts w:ascii="Arial" w:hAnsi="Arial" w:cs="Arial"/>
                <w:lang w:val="en-US"/>
              </w:rPr>
              <w:t>anti-hypertensive medication (incl. beta blockers)</w:t>
            </w:r>
          </w:p>
        </w:tc>
        <w:tc>
          <w:tcPr>
            <w:tcW w:w="1985" w:type="dxa"/>
          </w:tcPr>
          <w:p w14:paraId="61AA828A" w14:textId="2C967248" w:rsidR="00681F46" w:rsidRDefault="00681F46" w:rsidP="00681F46">
            <w:pPr>
              <w:spacing w:before="100" w:beforeAutospacing="1" w:after="100" w:afterAutospacing="1" w:line="480" w:lineRule="auto"/>
              <w:rPr>
                <w:rFonts w:ascii="Arial" w:hAnsi="Arial" w:cs="Arial"/>
                <w:lang w:val="en-US"/>
              </w:rPr>
            </w:pPr>
            <w:r>
              <w:rPr>
                <w:rFonts w:ascii="Arial" w:hAnsi="Arial" w:cs="Arial"/>
                <w:lang w:val="en-US"/>
              </w:rPr>
              <w:t>anti-hypertensive medication (incl. beta blockers)</w:t>
            </w:r>
          </w:p>
        </w:tc>
        <w:tc>
          <w:tcPr>
            <w:tcW w:w="1178" w:type="dxa"/>
          </w:tcPr>
          <w:p w14:paraId="655EE509" w14:textId="729AB664" w:rsidR="00681F46" w:rsidRDefault="00681F46" w:rsidP="00681F46">
            <w:pPr>
              <w:spacing w:before="100" w:beforeAutospacing="1" w:after="100" w:afterAutospacing="1" w:line="480" w:lineRule="auto"/>
              <w:rPr>
                <w:rFonts w:ascii="Arial" w:hAnsi="Arial" w:cs="Arial"/>
                <w:lang w:val="en-US"/>
              </w:rPr>
            </w:pPr>
            <w:r>
              <w:rPr>
                <w:rFonts w:ascii="Arial" w:hAnsi="Arial" w:cs="Arial"/>
                <w:lang w:val="en-US"/>
              </w:rPr>
              <w:t>P-Value</w:t>
            </w:r>
            <w:r w:rsidR="00904230">
              <w:rPr>
                <w:rFonts w:ascii="Arial" w:hAnsi="Arial" w:cs="Arial"/>
                <w:lang w:val="en-US"/>
              </w:rPr>
              <w:t>*</w:t>
            </w:r>
          </w:p>
        </w:tc>
      </w:tr>
      <w:tr w:rsidR="00591237" w14:paraId="43FD71B8" w14:textId="77777777" w:rsidTr="00763E0E">
        <w:tc>
          <w:tcPr>
            <w:tcW w:w="3085" w:type="dxa"/>
          </w:tcPr>
          <w:p w14:paraId="10F04336" w14:textId="2125C41C" w:rsidR="00591237" w:rsidRDefault="00591237" w:rsidP="00681F46">
            <w:pPr>
              <w:spacing w:before="100" w:beforeAutospacing="1" w:after="100" w:afterAutospacing="1" w:line="480" w:lineRule="auto"/>
              <w:jc w:val="both"/>
              <w:rPr>
                <w:rFonts w:ascii="Arial" w:hAnsi="Arial" w:cs="Arial"/>
                <w:lang w:val="en-US"/>
              </w:rPr>
            </w:pPr>
            <w:r>
              <w:rPr>
                <w:rFonts w:ascii="Arial" w:hAnsi="Arial" w:cs="Arial"/>
                <w:lang w:val="en-US"/>
              </w:rPr>
              <w:t>Female sex, n (%)</w:t>
            </w:r>
          </w:p>
        </w:tc>
        <w:tc>
          <w:tcPr>
            <w:tcW w:w="2268" w:type="dxa"/>
          </w:tcPr>
          <w:p w14:paraId="6C4F2C5B" w14:textId="3F903F83" w:rsidR="00591237" w:rsidRPr="00763E0E" w:rsidRDefault="00591237" w:rsidP="00681F46">
            <w:pPr>
              <w:spacing w:before="100" w:beforeAutospacing="1" w:after="100" w:afterAutospacing="1" w:line="480" w:lineRule="auto"/>
              <w:jc w:val="both"/>
              <w:rPr>
                <w:rFonts w:ascii="Arial" w:hAnsi="Arial" w:cs="Arial"/>
                <w:lang w:val="en-US"/>
              </w:rPr>
            </w:pPr>
            <w:r w:rsidRPr="00763E0E">
              <w:rPr>
                <w:rFonts w:ascii="Arial" w:hAnsi="Arial" w:cs="Arial"/>
                <w:lang w:val="en-US"/>
              </w:rPr>
              <w:t>11 (55%)</w:t>
            </w:r>
          </w:p>
        </w:tc>
        <w:tc>
          <w:tcPr>
            <w:tcW w:w="1985" w:type="dxa"/>
          </w:tcPr>
          <w:p w14:paraId="346592AD" w14:textId="61D75508" w:rsidR="00591237" w:rsidRPr="00763E0E" w:rsidRDefault="00591237" w:rsidP="0084461C">
            <w:pPr>
              <w:spacing w:before="100" w:beforeAutospacing="1" w:after="100" w:afterAutospacing="1" w:line="480" w:lineRule="auto"/>
              <w:jc w:val="both"/>
              <w:rPr>
                <w:rFonts w:ascii="Arial" w:hAnsi="Arial" w:cs="Arial"/>
                <w:lang w:val="en-US"/>
              </w:rPr>
            </w:pPr>
            <w:r w:rsidRPr="00763E0E">
              <w:rPr>
                <w:rFonts w:ascii="Arial" w:hAnsi="Arial" w:cs="Arial"/>
                <w:lang w:val="en-US"/>
              </w:rPr>
              <w:t>5 (45%)</w:t>
            </w:r>
          </w:p>
        </w:tc>
        <w:tc>
          <w:tcPr>
            <w:tcW w:w="1178" w:type="dxa"/>
            <w:vMerge w:val="restart"/>
          </w:tcPr>
          <w:p w14:paraId="37B8B4D0" w14:textId="5ED145F0" w:rsidR="00591237" w:rsidRDefault="00591237" w:rsidP="00681F46">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p>
        </w:tc>
      </w:tr>
      <w:tr w:rsidR="00591237" w14:paraId="66727A92" w14:textId="77777777" w:rsidTr="00763E0E">
        <w:tc>
          <w:tcPr>
            <w:tcW w:w="3085" w:type="dxa"/>
          </w:tcPr>
          <w:p w14:paraId="2912B9B0" w14:textId="40E11E4B" w:rsidR="00591237" w:rsidRDefault="00591237" w:rsidP="00681F46">
            <w:pPr>
              <w:spacing w:before="100" w:beforeAutospacing="1" w:after="100" w:afterAutospacing="1" w:line="480" w:lineRule="auto"/>
              <w:jc w:val="both"/>
              <w:rPr>
                <w:rFonts w:ascii="Arial" w:hAnsi="Arial" w:cs="Arial"/>
                <w:lang w:val="en-US"/>
              </w:rPr>
            </w:pPr>
            <w:r>
              <w:rPr>
                <w:rFonts w:ascii="Arial" w:hAnsi="Arial" w:cs="Arial"/>
                <w:lang w:val="en-US"/>
              </w:rPr>
              <w:t>Male sex, n (%)</w:t>
            </w:r>
          </w:p>
        </w:tc>
        <w:tc>
          <w:tcPr>
            <w:tcW w:w="2268" w:type="dxa"/>
          </w:tcPr>
          <w:p w14:paraId="4E6A560D" w14:textId="355862B7" w:rsidR="00591237" w:rsidRPr="00763E0E" w:rsidRDefault="00591237" w:rsidP="0084461C">
            <w:pPr>
              <w:spacing w:before="100" w:beforeAutospacing="1" w:after="100" w:afterAutospacing="1" w:line="480" w:lineRule="auto"/>
              <w:jc w:val="both"/>
              <w:rPr>
                <w:rFonts w:ascii="Arial" w:hAnsi="Arial" w:cs="Arial"/>
                <w:lang w:val="en-US"/>
              </w:rPr>
            </w:pPr>
            <w:r w:rsidRPr="00763E0E">
              <w:rPr>
                <w:rFonts w:ascii="Arial" w:hAnsi="Arial" w:cs="Arial"/>
                <w:lang w:val="en-US"/>
              </w:rPr>
              <w:t>7 (47%)</w:t>
            </w:r>
          </w:p>
        </w:tc>
        <w:tc>
          <w:tcPr>
            <w:tcW w:w="1985" w:type="dxa"/>
          </w:tcPr>
          <w:p w14:paraId="607404A4" w14:textId="3EC80908" w:rsidR="00591237" w:rsidRPr="00763E0E" w:rsidRDefault="00591237" w:rsidP="00681F46">
            <w:pPr>
              <w:spacing w:before="100" w:beforeAutospacing="1" w:after="100" w:afterAutospacing="1" w:line="480" w:lineRule="auto"/>
              <w:jc w:val="both"/>
              <w:rPr>
                <w:rFonts w:ascii="Arial" w:hAnsi="Arial" w:cs="Arial"/>
                <w:lang w:val="en-US"/>
              </w:rPr>
            </w:pPr>
            <w:r w:rsidRPr="00763E0E">
              <w:rPr>
                <w:rFonts w:ascii="Arial" w:hAnsi="Arial" w:cs="Arial"/>
                <w:lang w:val="en-US"/>
              </w:rPr>
              <w:t>8 (53%)</w:t>
            </w:r>
          </w:p>
        </w:tc>
        <w:tc>
          <w:tcPr>
            <w:tcW w:w="1178" w:type="dxa"/>
            <w:vMerge/>
          </w:tcPr>
          <w:p w14:paraId="5DE2F233" w14:textId="5247863A" w:rsidR="00591237" w:rsidRDefault="00591237" w:rsidP="00681F46">
            <w:pPr>
              <w:spacing w:before="100" w:beforeAutospacing="1" w:after="100" w:afterAutospacing="1" w:line="480" w:lineRule="auto"/>
              <w:jc w:val="both"/>
              <w:rPr>
                <w:rFonts w:ascii="Arial" w:hAnsi="Arial" w:cs="Arial"/>
                <w:lang w:val="en-US"/>
              </w:rPr>
            </w:pPr>
          </w:p>
        </w:tc>
      </w:tr>
      <w:tr w:rsidR="00681F46" w14:paraId="17B72FFA" w14:textId="77777777" w:rsidTr="00763E0E">
        <w:tc>
          <w:tcPr>
            <w:tcW w:w="3085" w:type="dxa"/>
          </w:tcPr>
          <w:p w14:paraId="6D0077BB" w14:textId="77777777" w:rsidR="00681F46" w:rsidRDefault="00681F46" w:rsidP="00681F46">
            <w:pPr>
              <w:spacing w:before="100" w:beforeAutospacing="1" w:after="100" w:afterAutospacing="1" w:line="480" w:lineRule="auto"/>
              <w:jc w:val="both"/>
              <w:rPr>
                <w:rFonts w:ascii="Arial" w:hAnsi="Arial" w:cs="Arial"/>
                <w:lang w:val="en-US"/>
              </w:rPr>
            </w:pPr>
            <w:r>
              <w:rPr>
                <w:rFonts w:ascii="Arial" w:hAnsi="Arial" w:cs="Arial"/>
                <w:lang w:val="en-US"/>
              </w:rPr>
              <w:t>Age, y</w:t>
            </w:r>
          </w:p>
        </w:tc>
        <w:tc>
          <w:tcPr>
            <w:tcW w:w="2268" w:type="dxa"/>
          </w:tcPr>
          <w:p w14:paraId="45FE439C" w14:textId="76C620DA" w:rsidR="00681F46" w:rsidRPr="00763E0E" w:rsidRDefault="00E3452A" w:rsidP="00AB0831">
            <w:pPr>
              <w:spacing w:before="100" w:beforeAutospacing="1" w:after="100" w:afterAutospacing="1" w:line="480" w:lineRule="auto"/>
              <w:jc w:val="both"/>
              <w:rPr>
                <w:rFonts w:ascii="Arial" w:hAnsi="Arial" w:cs="Arial"/>
                <w:lang w:val="en-US"/>
              </w:rPr>
            </w:pPr>
            <w:r>
              <w:rPr>
                <w:rFonts w:ascii="Arial" w:hAnsi="Arial" w:cs="Arial"/>
                <w:lang w:val="en-US"/>
              </w:rPr>
              <w:t>71.0</w:t>
            </w:r>
            <w:r w:rsidR="00AB0831" w:rsidRPr="00763E0E">
              <w:rPr>
                <w:rFonts w:ascii="Arial" w:hAnsi="Arial" w:cs="Arial"/>
                <w:lang w:val="en-US"/>
              </w:rPr>
              <w:t xml:space="preserve"> </w:t>
            </w:r>
            <w:r w:rsidR="004F20B6" w:rsidRPr="00763E0E">
              <w:rPr>
                <w:rFonts w:ascii="Arial" w:hAnsi="Arial" w:cs="Arial"/>
                <w:lang w:val="en-US"/>
              </w:rPr>
              <w:t>±</w:t>
            </w:r>
            <w:r w:rsidR="00AB0831" w:rsidRPr="00763E0E">
              <w:rPr>
                <w:rFonts w:ascii="Arial" w:hAnsi="Arial" w:cs="Arial"/>
                <w:lang w:val="en-US"/>
              </w:rPr>
              <w:t xml:space="preserve"> </w:t>
            </w:r>
            <w:r w:rsidR="004F20B6" w:rsidRPr="00763E0E">
              <w:rPr>
                <w:rFonts w:ascii="Arial" w:hAnsi="Arial" w:cs="Arial"/>
                <w:lang w:val="en-US"/>
              </w:rPr>
              <w:t>7.9</w:t>
            </w:r>
          </w:p>
        </w:tc>
        <w:tc>
          <w:tcPr>
            <w:tcW w:w="1985" w:type="dxa"/>
          </w:tcPr>
          <w:p w14:paraId="4674891E" w14:textId="3F26B44B" w:rsidR="00681F46" w:rsidRPr="00763E0E" w:rsidRDefault="0041495F" w:rsidP="00681F46">
            <w:pPr>
              <w:spacing w:before="100" w:beforeAutospacing="1" w:after="100" w:afterAutospacing="1" w:line="480" w:lineRule="auto"/>
              <w:jc w:val="both"/>
              <w:rPr>
                <w:rFonts w:ascii="Arial" w:hAnsi="Arial" w:cs="Arial"/>
                <w:lang w:val="en-US"/>
              </w:rPr>
            </w:pPr>
            <w:r w:rsidRPr="00763E0E">
              <w:rPr>
                <w:rFonts w:ascii="Arial" w:hAnsi="Arial" w:cs="Arial"/>
                <w:lang w:val="en-US"/>
              </w:rPr>
              <w:t>7</w:t>
            </w:r>
            <w:r w:rsidR="00AB0831" w:rsidRPr="00763E0E">
              <w:rPr>
                <w:rFonts w:ascii="Arial" w:hAnsi="Arial" w:cs="Arial"/>
                <w:lang w:val="en-US"/>
              </w:rPr>
              <w:t xml:space="preserve">4.8 </w:t>
            </w:r>
            <w:r w:rsidR="004F20B6" w:rsidRPr="00763E0E">
              <w:rPr>
                <w:rFonts w:ascii="Arial" w:hAnsi="Arial" w:cs="Arial"/>
                <w:lang w:val="en-US"/>
              </w:rPr>
              <w:t>±</w:t>
            </w:r>
            <w:r w:rsidR="00AB0831" w:rsidRPr="00763E0E">
              <w:rPr>
                <w:rFonts w:ascii="Arial" w:hAnsi="Arial" w:cs="Arial"/>
                <w:lang w:val="en-US"/>
              </w:rPr>
              <w:t xml:space="preserve"> </w:t>
            </w:r>
            <w:r w:rsidR="004F20B6" w:rsidRPr="00763E0E">
              <w:rPr>
                <w:rFonts w:ascii="Arial" w:hAnsi="Arial" w:cs="Arial"/>
                <w:lang w:val="en-US"/>
              </w:rPr>
              <w:t>8.</w:t>
            </w:r>
            <w:r w:rsidR="00AB0831" w:rsidRPr="00763E0E">
              <w:rPr>
                <w:rFonts w:ascii="Arial" w:hAnsi="Arial" w:cs="Arial"/>
                <w:lang w:val="en-US"/>
              </w:rPr>
              <w:t>6</w:t>
            </w:r>
          </w:p>
        </w:tc>
        <w:tc>
          <w:tcPr>
            <w:tcW w:w="1178" w:type="dxa"/>
          </w:tcPr>
          <w:p w14:paraId="7FBD2EBE" w14:textId="1D74F0F1" w:rsidR="00681F46" w:rsidRDefault="00591237" w:rsidP="00681F46">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r>
              <w:rPr>
                <w:rFonts w:ascii="Arial" w:hAnsi="Arial" w:cs="Arial"/>
                <w:lang w:val="en-US"/>
              </w:rPr>
              <w:t>.</w:t>
            </w:r>
          </w:p>
        </w:tc>
      </w:tr>
      <w:tr w:rsidR="00681F46" w14:paraId="06ACBA23" w14:textId="77777777" w:rsidTr="00763E0E">
        <w:tc>
          <w:tcPr>
            <w:tcW w:w="3085" w:type="dxa"/>
          </w:tcPr>
          <w:p w14:paraId="69B85486" w14:textId="77777777" w:rsidR="00681F46" w:rsidRDefault="00681F46" w:rsidP="00681F46">
            <w:pPr>
              <w:spacing w:before="100" w:beforeAutospacing="1" w:after="100" w:afterAutospacing="1" w:line="480" w:lineRule="auto"/>
              <w:jc w:val="both"/>
              <w:rPr>
                <w:rFonts w:ascii="Arial" w:hAnsi="Arial" w:cs="Arial"/>
                <w:lang w:val="en-US"/>
              </w:rPr>
            </w:pPr>
            <w:r>
              <w:rPr>
                <w:rFonts w:ascii="Arial" w:hAnsi="Arial" w:cs="Arial"/>
                <w:lang w:val="en-US"/>
              </w:rPr>
              <w:t>BMI</w:t>
            </w:r>
          </w:p>
        </w:tc>
        <w:tc>
          <w:tcPr>
            <w:tcW w:w="2268" w:type="dxa"/>
          </w:tcPr>
          <w:p w14:paraId="5F8F7630" w14:textId="291EFB8F" w:rsidR="00681F46" w:rsidRPr="00763E0E" w:rsidRDefault="004F7BC6" w:rsidP="00763E0E">
            <w:pPr>
              <w:spacing w:before="100" w:beforeAutospacing="1" w:after="100" w:afterAutospacing="1" w:line="480" w:lineRule="auto"/>
              <w:jc w:val="both"/>
              <w:rPr>
                <w:rFonts w:ascii="Arial" w:hAnsi="Arial" w:cs="Arial"/>
                <w:lang w:val="en-US"/>
              </w:rPr>
            </w:pPr>
            <w:r w:rsidRPr="00763E0E">
              <w:rPr>
                <w:rFonts w:ascii="Arial" w:hAnsi="Arial" w:cs="Arial"/>
                <w:lang w:val="en-US"/>
              </w:rPr>
              <w:t>24.6</w:t>
            </w:r>
            <w:r w:rsidR="00763E0E" w:rsidRPr="00763E0E">
              <w:rPr>
                <w:rFonts w:ascii="Arial" w:hAnsi="Arial" w:cs="Arial"/>
                <w:lang w:val="en-US"/>
              </w:rPr>
              <w:t xml:space="preserve"> </w:t>
            </w:r>
            <w:r w:rsidR="00C94043" w:rsidRPr="00763E0E">
              <w:rPr>
                <w:rFonts w:ascii="Arial" w:hAnsi="Arial" w:cs="Arial"/>
                <w:lang w:val="en-US"/>
              </w:rPr>
              <w:t>±</w:t>
            </w:r>
            <w:r w:rsidR="00763E0E" w:rsidRPr="00763E0E">
              <w:rPr>
                <w:rFonts w:ascii="Arial" w:hAnsi="Arial" w:cs="Arial"/>
                <w:lang w:val="en-US"/>
              </w:rPr>
              <w:t xml:space="preserve"> </w:t>
            </w:r>
            <w:r w:rsidRPr="00763E0E">
              <w:rPr>
                <w:rFonts w:ascii="Arial" w:hAnsi="Arial" w:cs="Arial"/>
                <w:lang w:val="en-US"/>
              </w:rPr>
              <w:t>4.</w:t>
            </w:r>
            <w:r w:rsidR="00E3452A">
              <w:rPr>
                <w:rFonts w:ascii="Arial" w:hAnsi="Arial" w:cs="Arial"/>
                <w:lang w:val="en-US"/>
              </w:rPr>
              <w:t>1</w:t>
            </w:r>
          </w:p>
        </w:tc>
        <w:tc>
          <w:tcPr>
            <w:tcW w:w="1985" w:type="dxa"/>
          </w:tcPr>
          <w:p w14:paraId="1DB603A7" w14:textId="346CCFAA" w:rsidR="00681F46" w:rsidRPr="00763E0E" w:rsidRDefault="0041495F" w:rsidP="004F7BC6">
            <w:pPr>
              <w:spacing w:before="100" w:beforeAutospacing="1" w:after="100" w:afterAutospacing="1" w:line="480" w:lineRule="auto"/>
              <w:jc w:val="both"/>
              <w:rPr>
                <w:rFonts w:ascii="Arial" w:hAnsi="Arial" w:cs="Arial"/>
                <w:lang w:val="en-US"/>
              </w:rPr>
            </w:pPr>
            <w:r w:rsidRPr="00763E0E">
              <w:rPr>
                <w:rFonts w:ascii="Arial" w:hAnsi="Arial" w:cs="Arial"/>
                <w:lang w:val="en-US"/>
              </w:rPr>
              <w:t>27.</w:t>
            </w:r>
            <w:r w:rsidR="004F7BC6" w:rsidRPr="00763E0E">
              <w:rPr>
                <w:rFonts w:ascii="Arial" w:hAnsi="Arial" w:cs="Arial"/>
                <w:lang w:val="en-US"/>
              </w:rPr>
              <w:t>6</w:t>
            </w:r>
            <w:r w:rsidR="00763E0E" w:rsidRPr="00763E0E">
              <w:rPr>
                <w:rFonts w:ascii="Arial" w:hAnsi="Arial" w:cs="Arial"/>
                <w:lang w:val="en-US"/>
              </w:rPr>
              <w:t xml:space="preserve"> </w:t>
            </w:r>
            <w:r w:rsidR="00C94043" w:rsidRPr="00763E0E">
              <w:rPr>
                <w:rFonts w:ascii="Arial" w:hAnsi="Arial" w:cs="Arial"/>
                <w:lang w:val="en-US"/>
              </w:rPr>
              <w:t>±</w:t>
            </w:r>
            <w:r w:rsidR="00763E0E" w:rsidRPr="00763E0E">
              <w:rPr>
                <w:rFonts w:ascii="Arial" w:hAnsi="Arial" w:cs="Arial"/>
                <w:lang w:val="en-US"/>
              </w:rPr>
              <w:t xml:space="preserve"> </w:t>
            </w:r>
            <w:r w:rsidR="004F7BC6" w:rsidRPr="00763E0E">
              <w:rPr>
                <w:rFonts w:ascii="Arial" w:hAnsi="Arial" w:cs="Arial"/>
                <w:lang w:val="en-US"/>
              </w:rPr>
              <w:t>5.9</w:t>
            </w:r>
          </w:p>
        </w:tc>
        <w:tc>
          <w:tcPr>
            <w:tcW w:w="1178" w:type="dxa"/>
          </w:tcPr>
          <w:p w14:paraId="6AB6ECF1" w14:textId="2A4BFE7B" w:rsidR="00681F46" w:rsidRDefault="00591237" w:rsidP="00681F46">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r>
              <w:rPr>
                <w:rFonts w:ascii="Arial" w:hAnsi="Arial" w:cs="Arial"/>
                <w:lang w:val="en-US"/>
              </w:rPr>
              <w:t>.</w:t>
            </w:r>
          </w:p>
        </w:tc>
      </w:tr>
      <w:tr w:rsidR="00681F46" w14:paraId="24E6FE2A" w14:textId="77777777" w:rsidTr="00763E0E">
        <w:tc>
          <w:tcPr>
            <w:tcW w:w="3085" w:type="dxa"/>
          </w:tcPr>
          <w:p w14:paraId="2B6D895D" w14:textId="77777777" w:rsidR="00681F46" w:rsidRDefault="00681F46" w:rsidP="00681F46">
            <w:pPr>
              <w:spacing w:before="100" w:beforeAutospacing="1" w:after="100" w:afterAutospacing="1" w:line="480" w:lineRule="auto"/>
              <w:jc w:val="both"/>
              <w:rPr>
                <w:rFonts w:ascii="Arial" w:hAnsi="Arial" w:cs="Arial"/>
                <w:lang w:val="en-US"/>
              </w:rPr>
            </w:pPr>
            <w:r>
              <w:rPr>
                <w:rFonts w:ascii="Arial" w:hAnsi="Arial" w:cs="Arial"/>
                <w:lang w:val="en-US"/>
              </w:rPr>
              <w:t>SP, mm Hg</w:t>
            </w:r>
          </w:p>
        </w:tc>
        <w:tc>
          <w:tcPr>
            <w:tcW w:w="2268" w:type="dxa"/>
          </w:tcPr>
          <w:p w14:paraId="243B748D" w14:textId="13BDFA22" w:rsidR="00681F46" w:rsidRPr="00763E0E" w:rsidRDefault="0041495F" w:rsidP="00681F46">
            <w:pPr>
              <w:spacing w:before="100" w:beforeAutospacing="1" w:after="100" w:afterAutospacing="1" w:line="480" w:lineRule="auto"/>
              <w:jc w:val="both"/>
              <w:rPr>
                <w:rFonts w:ascii="Arial" w:hAnsi="Arial" w:cs="Arial"/>
                <w:lang w:val="en-US"/>
              </w:rPr>
            </w:pPr>
            <w:r w:rsidRPr="00763E0E">
              <w:rPr>
                <w:rFonts w:ascii="Arial" w:hAnsi="Arial" w:cs="Arial"/>
                <w:lang w:val="en-US"/>
              </w:rPr>
              <w:t>134</w:t>
            </w:r>
            <w:r w:rsidR="00763E0E" w:rsidRPr="00763E0E">
              <w:rPr>
                <w:rFonts w:ascii="Arial" w:hAnsi="Arial" w:cs="Arial"/>
                <w:lang w:val="en-US"/>
              </w:rPr>
              <w:t xml:space="preserve"> </w:t>
            </w:r>
            <w:r w:rsidR="00C94043" w:rsidRPr="00763E0E">
              <w:rPr>
                <w:rFonts w:ascii="Arial" w:hAnsi="Arial" w:cs="Arial"/>
                <w:lang w:val="en-US"/>
              </w:rPr>
              <w:t>±</w:t>
            </w:r>
            <w:r w:rsidR="00763E0E" w:rsidRPr="00763E0E">
              <w:rPr>
                <w:rFonts w:ascii="Arial" w:hAnsi="Arial" w:cs="Arial"/>
                <w:lang w:val="en-US"/>
              </w:rPr>
              <w:t xml:space="preserve"> </w:t>
            </w:r>
            <w:r w:rsidR="004F7BC6" w:rsidRPr="00763E0E">
              <w:rPr>
                <w:rFonts w:ascii="Arial" w:hAnsi="Arial" w:cs="Arial"/>
                <w:lang w:val="en-US"/>
              </w:rPr>
              <w:t>13</w:t>
            </w:r>
          </w:p>
        </w:tc>
        <w:tc>
          <w:tcPr>
            <w:tcW w:w="1985" w:type="dxa"/>
          </w:tcPr>
          <w:p w14:paraId="17F30ECE" w14:textId="5E04AE3A" w:rsidR="00681F46" w:rsidRPr="00763E0E" w:rsidRDefault="0041495F" w:rsidP="00681F46">
            <w:pPr>
              <w:spacing w:before="100" w:beforeAutospacing="1" w:after="100" w:afterAutospacing="1" w:line="480" w:lineRule="auto"/>
              <w:jc w:val="both"/>
              <w:rPr>
                <w:rFonts w:ascii="Arial" w:hAnsi="Arial" w:cs="Arial"/>
                <w:lang w:val="en-US"/>
              </w:rPr>
            </w:pPr>
            <w:r w:rsidRPr="00763E0E">
              <w:rPr>
                <w:rFonts w:ascii="Arial" w:hAnsi="Arial" w:cs="Arial"/>
                <w:lang w:val="en-US"/>
              </w:rPr>
              <w:t>142</w:t>
            </w:r>
            <w:r w:rsidR="00763E0E" w:rsidRPr="00763E0E">
              <w:rPr>
                <w:rFonts w:ascii="Arial" w:hAnsi="Arial" w:cs="Arial"/>
                <w:lang w:val="en-US"/>
              </w:rPr>
              <w:t xml:space="preserve"> </w:t>
            </w:r>
            <w:r w:rsidR="00C94043" w:rsidRPr="00763E0E">
              <w:rPr>
                <w:rFonts w:ascii="Arial" w:hAnsi="Arial" w:cs="Arial"/>
                <w:lang w:val="en-US"/>
              </w:rPr>
              <w:t>±</w:t>
            </w:r>
            <w:r w:rsidR="00763E0E" w:rsidRPr="00763E0E">
              <w:rPr>
                <w:rFonts w:ascii="Arial" w:hAnsi="Arial" w:cs="Arial"/>
                <w:lang w:val="en-US"/>
              </w:rPr>
              <w:t xml:space="preserve"> </w:t>
            </w:r>
            <w:r w:rsidR="004F7BC6" w:rsidRPr="00763E0E">
              <w:rPr>
                <w:rFonts w:ascii="Arial" w:hAnsi="Arial" w:cs="Arial"/>
                <w:lang w:val="en-US"/>
              </w:rPr>
              <w:t>20</w:t>
            </w:r>
          </w:p>
        </w:tc>
        <w:tc>
          <w:tcPr>
            <w:tcW w:w="1178" w:type="dxa"/>
          </w:tcPr>
          <w:p w14:paraId="628BB68C" w14:textId="406E7F9D" w:rsidR="00681F46" w:rsidRDefault="00591237" w:rsidP="00681F46">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r>
              <w:rPr>
                <w:rFonts w:ascii="Arial" w:hAnsi="Arial" w:cs="Arial"/>
                <w:lang w:val="en-US"/>
              </w:rPr>
              <w:t>.</w:t>
            </w:r>
          </w:p>
        </w:tc>
      </w:tr>
      <w:tr w:rsidR="00681F46" w14:paraId="4F2E1568" w14:textId="77777777" w:rsidTr="00763E0E">
        <w:tc>
          <w:tcPr>
            <w:tcW w:w="3085" w:type="dxa"/>
          </w:tcPr>
          <w:p w14:paraId="4CB15AE9" w14:textId="77777777" w:rsidR="00681F46" w:rsidRDefault="00681F46" w:rsidP="00681F46">
            <w:pPr>
              <w:spacing w:before="100" w:beforeAutospacing="1" w:after="100" w:afterAutospacing="1" w:line="480" w:lineRule="auto"/>
              <w:jc w:val="both"/>
              <w:rPr>
                <w:rFonts w:ascii="Arial" w:hAnsi="Arial" w:cs="Arial"/>
                <w:lang w:val="en-US"/>
              </w:rPr>
            </w:pPr>
            <w:r>
              <w:rPr>
                <w:rFonts w:ascii="Arial" w:hAnsi="Arial" w:cs="Arial"/>
                <w:lang w:val="en-US"/>
              </w:rPr>
              <w:t>DP, mm Hg</w:t>
            </w:r>
          </w:p>
        </w:tc>
        <w:tc>
          <w:tcPr>
            <w:tcW w:w="2268" w:type="dxa"/>
          </w:tcPr>
          <w:p w14:paraId="4AF98BB0" w14:textId="38845AD8" w:rsidR="00681F46" w:rsidRPr="00763E0E" w:rsidRDefault="0041495F" w:rsidP="00681F46">
            <w:pPr>
              <w:spacing w:before="100" w:beforeAutospacing="1" w:after="100" w:afterAutospacing="1" w:line="480" w:lineRule="auto"/>
              <w:jc w:val="both"/>
              <w:rPr>
                <w:rFonts w:ascii="Arial" w:hAnsi="Arial" w:cs="Arial"/>
                <w:lang w:val="en-US"/>
              </w:rPr>
            </w:pPr>
            <w:r w:rsidRPr="00763E0E">
              <w:rPr>
                <w:rFonts w:ascii="Arial" w:hAnsi="Arial" w:cs="Arial"/>
                <w:lang w:val="en-US"/>
              </w:rPr>
              <w:t>78</w:t>
            </w:r>
            <w:r w:rsidR="00763E0E" w:rsidRPr="00763E0E">
              <w:rPr>
                <w:rFonts w:ascii="Arial" w:hAnsi="Arial" w:cs="Arial"/>
                <w:lang w:val="en-US"/>
              </w:rPr>
              <w:t xml:space="preserve"> </w:t>
            </w:r>
            <w:r w:rsidR="00C94043" w:rsidRPr="00763E0E">
              <w:rPr>
                <w:rFonts w:ascii="Arial" w:hAnsi="Arial" w:cs="Arial"/>
                <w:lang w:val="en-US"/>
              </w:rPr>
              <w:t>±</w:t>
            </w:r>
            <w:r w:rsidR="00763E0E" w:rsidRPr="00763E0E">
              <w:rPr>
                <w:rFonts w:ascii="Arial" w:hAnsi="Arial" w:cs="Arial"/>
                <w:lang w:val="en-US"/>
              </w:rPr>
              <w:t xml:space="preserve"> </w:t>
            </w:r>
            <w:r w:rsidR="00904230" w:rsidRPr="00763E0E">
              <w:rPr>
                <w:rFonts w:ascii="Arial" w:hAnsi="Arial" w:cs="Arial"/>
                <w:lang w:val="en-US"/>
              </w:rPr>
              <w:t>10</w:t>
            </w:r>
          </w:p>
        </w:tc>
        <w:tc>
          <w:tcPr>
            <w:tcW w:w="1985" w:type="dxa"/>
          </w:tcPr>
          <w:p w14:paraId="6270C01E" w14:textId="3F701BFC" w:rsidR="00681F46" w:rsidRPr="00763E0E" w:rsidRDefault="0041495F" w:rsidP="00681F46">
            <w:pPr>
              <w:spacing w:before="100" w:beforeAutospacing="1" w:after="100" w:afterAutospacing="1" w:line="480" w:lineRule="auto"/>
              <w:jc w:val="both"/>
              <w:rPr>
                <w:rFonts w:ascii="Arial" w:hAnsi="Arial" w:cs="Arial"/>
                <w:lang w:val="en-US"/>
              </w:rPr>
            </w:pPr>
            <w:r w:rsidRPr="00763E0E">
              <w:rPr>
                <w:rFonts w:ascii="Arial" w:hAnsi="Arial" w:cs="Arial"/>
                <w:lang w:val="en-US"/>
              </w:rPr>
              <w:t>79</w:t>
            </w:r>
            <w:r w:rsidR="00763E0E" w:rsidRPr="00763E0E">
              <w:rPr>
                <w:rFonts w:ascii="Arial" w:hAnsi="Arial" w:cs="Arial"/>
                <w:lang w:val="en-US"/>
              </w:rPr>
              <w:t xml:space="preserve"> </w:t>
            </w:r>
            <w:r w:rsidR="00C94043" w:rsidRPr="00763E0E">
              <w:rPr>
                <w:rFonts w:ascii="Arial" w:hAnsi="Arial" w:cs="Arial"/>
                <w:lang w:val="en-US"/>
              </w:rPr>
              <w:t>±</w:t>
            </w:r>
            <w:r w:rsidR="00763E0E" w:rsidRPr="00763E0E">
              <w:rPr>
                <w:rFonts w:ascii="Arial" w:hAnsi="Arial" w:cs="Arial"/>
                <w:lang w:val="en-US"/>
              </w:rPr>
              <w:t xml:space="preserve"> </w:t>
            </w:r>
            <w:r w:rsidR="00904230" w:rsidRPr="00763E0E">
              <w:rPr>
                <w:rFonts w:ascii="Arial" w:hAnsi="Arial" w:cs="Arial"/>
                <w:lang w:val="en-US"/>
              </w:rPr>
              <w:t>7</w:t>
            </w:r>
          </w:p>
        </w:tc>
        <w:tc>
          <w:tcPr>
            <w:tcW w:w="1178" w:type="dxa"/>
          </w:tcPr>
          <w:p w14:paraId="1A872F4B" w14:textId="6A227616" w:rsidR="00681F46" w:rsidRDefault="00591237" w:rsidP="00681F46">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r>
              <w:rPr>
                <w:rFonts w:ascii="Arial" w:hAnsi="Arial" w:cs="Arial"/>
                <w:lang w:val="en-US"/>
              </w:rPr>
              <w:t>.</w:t>
            </w:r>
          </w:p>
        </w:tc>
      </w:tr>
      <w:tr w:rsidR="00681F46" w14:paraId="34B4F132" w14:textId="77777777" w:rsidTr="00763E0E">
        <w:tc>
          <w:tcPr>
            <w:tcW w:w="3085" w:type="dxa"/>
          </w:tcPr>
          <w:p w14:paraId="35F8035C" w14:textId="77777777" w:rsidR="00681F46" w:rsidRDefault="00681F46" w:rsidP="00681F46">
            <w:pPr>
              <w:spacing w:before="100" w:beforeAutospacing="1" w:after="100" w:afterAutospacing="1" w:line="480" w:lineRule="auto"/>
              <w:jc w:val="both"/>
              <w:rPr>
                <w:rFonts w:ascii="Arial" w:hAnsi="Arial" w:cs="Arial"/>
                <w:lang w:val="en-US"/>
              </w:rPr>
            </w:pPr>
            <w:r>
              <w:rPr>
                <w:rFonts w:ascii="Arial" w:hAnsi="Arial" w:cs="Arial"/>
                <w:lang w:val="en-US"/>
              </w:rPr>
              <w:t>MAP, mm Hg</w:t>
            </w:r>
          </w:p>
        </w:tc>
        <w:tc>
          <w:tcPr>
            <w:tcW w:w="2268" w:type="dxa"/>
          </w:tcPr>
          <w:p w14:paraId="06A5AC54" w14:textId="6B60FF52" w:rsidR="00681F46" w:rsidRPr="00763E0E" w:rsidRDefault="00904230" w:rsidP="00681F46">
            <w:pPr>
              <w:spacing w:before="100" w:beforeAutospacing="1" w:after="100" w:afterAutospacing="1" w:line="480" w:lineRule="auto"/>
              <w:jc w:val="both"/>
              <w:rPr>
                <w:rFonts w:ascii="Arial" w:hAnsi="Arial" w:cs="Arial"/>
                <w:lang w:val="en-US"/>
              </w:rPr>
            </w:pPr>
            <w:r w:rsidRPr="00763E0E">
              <w:rPr>
                <w:rFonts w:ascii="Arial" w:hAnsi="Arial" w:cs="Arial"/>
                <w:lang w:val="en-US"/>
              </w:rPr>
              <w:t>97</w:t>
            </w:r>
            <w:r w:rsidR="00763E0E" w:rsidRPr="00763E0E">
              <w:rPr>
                <w:rFonts w:ascii="Arial" w:hAnsi="Arial" w:cs="Arial"/>
                <w:lang w:val="en-US"/>
              </w:rPr>
              <w:t xml:space="preserve"> </w:t>
            </w:r>
            <w:r w:rsidR="00C94043" w:rsidRPr="00763E0E">
              <w:rPr>
                <w:rFonts w:ascii="Arial" w:hAnsi="Arial" w:cs="Arial"/>
                <w:lang w:val="en-US"/>
              </w:rPr>
              <w:t>±</w:t>
            </w:r>
            <w:r w:rsidR="00763E0E" w:rsidRPr="00763E0E">
              <w:rPr>
                <w:rFonts w:ascii="Arial" w:hAnsi="Arial" w:cs="Arial"/>
                <w:lang w:val="en-US"/>
              </w:rPr>
              <w:t xml:space="preserve"> </w:t>
            </w:r>
            <w:r w:rsidRPr="00763E0E">
              <w:rPr>
                <w:rFonts w:ascii="Arial" w:hAnsi="Arial" w:cs="Arial"/>
                <w:lang w:val="en-US"/>
              </w:rPr>
              <w:t>9</w:t>
            </w:r>
          </w:p>
        </w:tc>
        <w:tc>
          <w:tcPr>
            <w:tcW w:w="1985" w:type="dxa"/>
          </w:tcPr>
          <w:p w14:paraId="1CD0C612" w14:textId="7DE20E30" w:rsidR="00681F46" w:rsidRPr="00763E0E" w:rsidRDefault="00904230" w:rsidP="00681F46">
            <w:pPr>
              <w:spacing w:before="100" w:beforeAutospacing="1" w:after="100" w:afterAutospacing="1" w:line="480" w:lineRule="auto"/>
              <w:jc w:val="both"/>
              <w:rPr>
                <w:rFonts w:ascii="Arial" w:hAnsi="Arial" w:cs="Arial"/>
                <w:lang w:val="en-US"/>
              </w:rPr>
            </w:pPr>
            <w:r w:rsidRPr="00763E0E">
              <w:rPr>
                <w:rFonts w:ascii="Arial" w:hAnsi="Arial" w:cs="Arial"/>
                <w:lang w:val="en-US"/>
              </w:rPr>
              <w:t>100</w:t>
            </w:r>
            <w:r w:rsidR="00763E0E" w:rsidRPr="00763E0E">
              <w:rPr>
                <w:rFonts w:ascii="Arial" w:hAnsi="Arial" w:cs="Arial"/>
                <w:lang w:val="en-US"/>
              </w:rPr>
              <w:t xml:space="preserve"> </w:t>
            </w:r>
            <w:r w:rsidR="00C94043" w:rsidRPr="00763E0E">
              <w:rPr>
                <w:rFonts w:ascii="Arial" w:hAnsi="Arial" w:cs="Arial"/>
                <w:lang w:val="en-US"/>
              </w:rPr>
              <w:t>±</w:t>
            </w:r>
            <w:r w:rsidR="00763E0E" w:rsidRPr="00763E0E">
              <w:rPr>
                <w:rFonts w:ascii="Arial" w:hAnsi="Arial" w:cs="Arial"/>
                <w:lang w:val="en-US"/>
              </w:rPr>
              <w:t xml:space="preserve"> </w:t>
            </w:r>
            <w:r w:rsidRPr="00763E0E">
              <w:rPr>
                <w:rFonts w:ascii="Arial" w:hAnsi="Arial" w:cs="Arial"/>
                <w:lang w:val="en-US"/>
              </w:rPr>
              <w:t>10</w:t>
            </w:r>
          </w:p>
        </w:tc>
        <w:tc>
          <w:tcPr>
            <w:tcW w:w="1178" w:type="dxa"/>
          </w:tcPr>
          <w:p w14:paraId="104B52D2" w14:textId="471911D8" w:rsidR="00681F46" w:rsidRDefault="00591237" w:rsidP="00681F46">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r>
              <w:rPr>
                <w:rFonts w:ascii="Arial" w:hAnsi="Arial" w:cs="Arial"/>
                <w:lang w:val="en-US"/>
              </w:rPr>
              <w:t>.</w:t>
            </w:r>
          </w:p>
        </w:tc>
      </w:tr>
      <w:tr w:rsidR="00681F46" w14:paraId="1C397A2B" w14:textId="77777777" w:rsidTr="00763E0E">
        <w:tc>
          <w:tcPr>
            <w:tcW w:w="3085" w:type="dxa"/>
          </w:tcPr>
          <w:p w14:paraId="1C95D9C4" w14:textId="6641DE1D" w:rsidR="00681F46" w:rsidRDefault="00A33221" w:rsidP="00681F46">
            <w:pPr>
              <w:spacing w:before="100" w:beforeAutospacing="1" w:after="100" w:afterAutospacing="1" w:line="480" w:lineRule="auto"/>
              <w:jc w:val="both"/>
              <w:rPr>
                <w:rFonts w:ascii="Arial" w:hAnsi="Arial" w:cs="Arial"/>
                <w:lang w:val="en-US"/>
              </w:rPr>
            </w:pPr>
            <w:proofErr w:type="gramStart"/>
            <w:r>
              <w:rPr>
                <w:rFonts w:ascii="Arial" w:hAnsi="Arial" w:cs="Arial"/>
                <w:lang w:val="en-US"/>
              </w:rPr>
              <w:t>oral</w:t>
            </w:r>
            <w:proofErr w:type="gramEnd"/>
            <w:r>
              <w:rPr>
                <w:rFonts w:ascii="Arial" w:hAnsi="Arial" w:cs="Arial"/>
                <w:lang w:val="en-US"/>
              </w:rPr>
              <w:t xml:space="preserve"> antihyperglycemic</w:t>
            </w:r>
            <w:r w:rsidRPr="00A33221">
              <w:rPr>
                <w:rFonts w:ascii="Arial" w:eastAsiaTheme="minorEastAsia" w:hAnsi="Arial" w:cs="Arial"/>
                <w:sz w:val="24"/>
                <w:szCs w:val="24"/>
                <w:vertAlign w:val="superscript"/>
                <w:lang w:val="en-US" w:eastAsia="en-US"/>
              </w:rPr>
              <w:t>†</w:t>
            </w:r>
            <w:r>
              <w:rPr>
                <w:rFonts w:ascii="Arial" w:hAnsi="Arial" w:cs="Arial"/>
                <w:lang w:val="en-US"/>
              </w:rPr>
              <w:t>, n (%)</w:t>
            </w:r>
          </w:p>
        </w:tc>
        <w:tc>
          <w:tcPr>
            <w:tcW w:w="2268" w:type="dxa"/>
          </w:tcPr>
          <w:p w14:paraId="3BCFFC6F" w14:textId="2B6A70C2" w:rsidR="00681F46" w:rsidRPr="00763E0E" w:rsidRDefault="0041495F" w:rsidP="00681F46">
            <w:pPr>
              <w:spacing w:before="100" w:beforeAutospacing="1" w:after="100" w:afterAutospacing="1" w:line="480" w:lineRule="auto"/>
              <w:jc w:val="both"/>
              <w:rPr>
                <w:rFonts w:ascii="Arial" w:hAnsi="Arial" w:cs="Arial"/>
                <w:lang w:val="en-US"/>
              </w:rPr>
            </w:pPr>
            <w:r w:rsidRPr="00763E0E">
              <w:rPr>
                <w:rFonts w:ascii="Arial" w:hAnsi="Arial" w:cs="Arial"/>
                <w:lang w:val="en-US"/>
              </w:rPr>
              <w:t>0</w:t>
            </w:r>
          </w:p>
        </w:tc>
        <w:tc>
          <w:tcPr>
            <w:tcW w:w="1985" w:type="dxa"/>
          </w:tcPr>
          <w:p w14:paraId="35140C0F" w14:textId="2D7482FE" w:rsidR="00681F46" w:rsidRPr="00763E0E" w:rsidRDefault="0041495F" w:rsidP="00681F46">
            <w:pPr>
              <w:spacing w:before="100" w:beforeAutospacing="1" w:after="100" w:afterAutospacing="1" w:line="480" w:lineRule="auto"/>
              <w:jc w:val="both"/>
              <w:rPr>
                <w:rFonts w:ascii="Arial" w:hAnsi="Arial" w:cs="Arial"/>
                <w:lang w:val="en-US"/>
              </w:rPr>
            </w:pPr>
            <w:r w:rsidRPr="00763E0E">
              <w:rPr>
                <w:rFonts w:ascii="Arial" w:hAnsi="Arial" w:cs="Arial"/>
                <w:lang w:val="en-US"/>
              </w:rPr>
              <w:t>1</w:t>
            </w:r>
          </w:p>
        </w:tc>
        <w:tc>
          <w:tcPr>
            <w:tcW w:w="1178" w:type="dxa"/>
          </w:tcPr>
          <w:p w14:paraId="5D1F7E34" w14:textId="6E497797" w:rsidR="00681F46" w:rsidRDefault="002E0F14" w:rsidP="00681F46">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r>
              <w:rPr>
                <w:rFonts w:ascii="Arial" w:hAnsi="Arial" w:cs="Arial"/>
                <w:lang w:val="en-US"/>
              </w:rPr>
              <w:t>.</w:t>
            </w:r>
          </w:p>
        </w:tc>
      </w:tr>
      <w:tr w:rsidR="00681F46" w14:paraId="7148EEDA" w14:textId="77777777" w:rsidTr="00763E0E">
        <w:tc>
          <w:tcPr>
            <w:tcW w:w="3085" w:type="dxa"/>
          </w:tcPr>
          <w:p w14:paraId="64107EF6" w14:textId="6766B342" w:rsidR="00681F46" w:rsidRDefault="00591237" w:rsidP="00591237">
            <w:pPr>
              <w:spacing w:before="100" w:beforeAutospacing="1" w:after="100" w:afterAutospacing="1" w:line="480" w:lineRule="auto"/>
              <w:jc w:val="both"/>
              <w:rPr>
                <w:rFonts w:ascii="Arial" w:hAnsi="Arial" w:cs="Arial"/>
                <w:lang w:val="en-US"/>
              </w:rPr>
            </w:pPr>
            <w:r>
              <w:rPr>
                <w:rFonts w:ascii="Arial" w:hAnsi="Arial" w:cs="Arial"/>
                <w:lang w:val="en-US"/>
              </w:rPr>
              <w:t>Pos. sm</w:t>
            </w:r>
            <w:r w:rsidR="00681F46">
              <w:rPr>
                <w:rFonts w:ascii="Arial" w:hAnsi="Arial" w:cs="Arial"/>
                <w:lang w:val="en-US"/>
              </w:rPr>
              <w:t>oking history, n (%)</w:t>
            </w:r>
          </w:p>
        </w:tc>
        <w:tc>
          <w:tcPr>
            <w:tcW w:w="2268" w:type="dxa"/>
          </w:tcPr>
          <w:p w14:paraId="67E39E2C" w14:textId="22A277CC" w:rsidR="00681F46" w:rsidRPr="00763E0E" w:rsidRDefault="00CE3F18" w:rsidP="00681F46">
            <w:pPr>
              <w:spacing w:before="100" w:beforeAutospacing="1" w:after="100" w:afterAutospacing="1" w:line="480" w:lineRule="auto"/>
              <w:jc w:val="both"/>
              <w:rPr>
                <w:rFonts w:ascii="Arial" w:hAnsi="Arial" w:cs="Arial"/>
                <w:lang w:val="en-US"/>
              </w:rPr>
            </w:pPr>
            <w:r w:rsidRPr="00763E0E">
              <w:rPr>
                <w:rFonts w:ascii="Arial" w:hAnsi="Arial" w:cs="Arial"/>
                <w:lang w:val="en-US"/>
              </w:rPr>
              <w:t>6</w:t>
            </w:r>
          </w:p>
        </w:tc>
        <w:tc>
          <w:tcPr>
            <w:tcW w:w="1985" w:type="dxa"/>
          </w:tcPr>
          <w:p w14:paraId="2237F306" w14:textId="551EAE29" w:rsidR="00681F46" w:rsidRPr="00763E0E" w:rsidRDefault="00CE3F18" w:rsidP="00681F46">
            <w:pPr>
              <w:spacing w:before="100" w:beforeAutospacing="1" w:after="100" w:afterAutospacing="1" w:line="480" w:lineRule="auto"/>
              <w:jc w:val="both"/>
              <w:rPr>
                <w:rFonts w:ascii="Arial" w:hAnsi="Arial" w:cs="Arial"/>
                <w:lang w:val="en-US"/>
              </w:rPr>
            </w:pPr>
            <w:r w:rsidRPr="00763E0E">
              <w:rPr>
                <w:rFonts w:ascii="Arial" w:hAnsi="Arial" w:cs="Arial"/>
                <w:lang w:val="en-US"/>
              </w:rPr>
              <w:t>7</w:t>
            </w:r>
          </w:p>
        </w:tc>
        <w:tc>
          <w:tcPr>
            <w:tcW w:w="1178" w:type="dxa"/>
          </w:tcPr>
          <w:p w14:paraId="5772FC61" w14:textId="23AA0ACD" w:rsidR="00681F46" w:rsidRDefault="002E0F14" w:rsidP="00681F46">
            <w:pPr>
              <w:spacing w:before="100" w:beforeAutospacing="1" w:after="100" w:afterAutospacing="1" w:line="480" w:lineRule="auto"/>
              <w:jc w:val="both"/>
              <w:rPr>
                <w:rFonts w:ascii="Arial" w:hAnsi="Arial" w:cs="Arial"/>
                <w:lang w:val="en-US"/>
              </w:rPr>
            </w:pPr>
            <w:proofErr w:type="spellStart"/>
            <w:r>
              <w:rPr>
                <w:rFonts w:ascii="Arial" w:hAnsi="Arial" w:cs="Arial"/>
                <w:lang w:val="en-US"/>
              </w:rPr>
              <w:t>n.s</w:t>
            </w:r>
            <w:proofErr w:type="spellEnd"/>
            <w:r>
              <w:rPr>
                <w:rFonts w:ascii="Arial" w:hAnsi="Arial" w:cs="Arial"/>
                <w:lang w:val="en-US"/>
              </w:rPr>
              <w:t>.</w:t>
            </w:r>
          </w:p>
        </w:tc>
      </w:tr>
    </w:tbl>
    <w:p w14:paraId="20FF64E7" w14:textId="77777777" w:rsidR="00A33221" w:rsidRDefault="00A33221" w:rsidP="00A33221">
      <w:pPr>
        <w:spacing w:before="100" w:beforeAutospacing="1" w:after="100" w:afterAutospacing="1" w:line="480" w:lineRule="auto"/>
        <w:jc w:val="both"/>
        <w:rPr>
          <w:rFonts w:ascii="Arial" w:eastAsiaTheme="minorEastAsia" w:hAnsi="Arial" w:cs="Arial"/>
          <w:sz w:val="24"/>
          <w:szCs w:val="24"/>
          <w:lang w:val="en-US" w:eastAsia="en-US"/>
        </w:rPr>
      </w:pPr>
      <w:r>
        <w:rPr>
          <w:rFonts w:ascii="Arial" w:hAnsi="Arial" w:cs="Arial"/>
          <w:lang w:val="en-US"/>
        </w:rPr>
        <w:t>BMI=body mass index, SP=systolic blood pressure, DP=diastolic blood pressure, MAP = mean arterial pressure, calculated as DP + ((SP-DP)/3)</w:t>
      </w:r>
      <w:r w:rsidRPr="00A33221">
        <w:rPr>
          <w:rFonts w:ascii="Arial" w:eastAsiaTheme="minorEastAsia" w:hAnsi="Arial" w:cs="Arial"/>
          <w:sz w:val="24"/>
          <w:szCs w:val="24"/>
          <w:lang w:val="en-US" w:eastAsia="en-US"/>
        </w:rPr>
        <w:t xml:space="preserve"> </w:t>
      </w:r>
    </w:p>
    <w:p w14:paraId="00CEAC4B" w14:textId="1E3BB8A6" w:rsidR="00A33221" w:rsidRPr="008F3C37" w:rsidRDefault="00A747E5" w:rsidP="00A33221">
      <w:pPr>
        <w:spacing w:before="100" w:beforeAutospacing="1" w:after="100" w:afterAutospacing="1" w:line="480" w:lineRule="auto"/>
        <w:jc w:val="both"/>
        <w:rPr>
          <w:rFonts w:ascii="Arial" w:eastAsiaTheme="minorEastAsia" w:hAnsi="Arial" w:cs="Arial"/>
          <w:szCs w:val="24"/>
          <w:lang w:val="en-US" w:eastAsia="en-US"/>
        </w:rPr>
      </w:pPr>
      <w:r w:rsidRPr="008F3C37">
        <w:rPr>
          <w:rFonts w:ascii="Arial" w:eastAsiaTheme="minorEastAsia" w:hAnsi="Arial" w:cs="Arial"/>
          <w:szCs w:val="24"/>
          <w:lang w:val="en-US" w:eastAsia="en-US"/>
        </w:rPr>
        <w:t>*</w:t>
      </w:r>
      <w:r>
        <w:rPr>
          <w:rFonts w:ascii="Arial" w:eastAsiaTheme="minorEastAsia" w:hAnsi="Arial" w:cs="Arial"/>
          <w:szCs w:val="24"/>
          <w:lang w:val="en-US" w:eastAsia="en-US"/>
        </w:rPr>
        <w:t xml:space="preserve">Non-parametric test with </w:t>
      </w:r>
      <w:r w:rsidRPr="008F3C37">
        <w:rPr>
          <w:rFonts w:ascii="Arial" w:eastAsiaTheme="minorEastAsia" w:hAnsi="Arial" w:cs="Arial"/>
          <w:szCs w:val="24"/>
          <w:lang w:val="en-US" w:eastAsia="en-US"/>
        </w:rPr>
        <w:t>two-sided significance level p=</w:t>
      </w:r>
      <w:r>
        <w:rPr>
          <w:rFonts w:ascii="Arial" w:eastAsiaTheme="minorEastAsia" w:hAnsi="Arial" w:cs="Arial"/>
          <w:szCs w:val="24"/>
          <w:lang w:val="en-US" w:eastAsia="en-US"/>
        </w:rPr>
        <w:t>0</w:t>
      </w:r>
      <w:r w:rsidRPr="008F3C37">
        <w:rPr>
          <w:rFonts w:ascii="Arial" w:eastAsiaTheme="minorEastAsia" w:hAnsi="Arial" w:cs="Arial"/>
          <w:szCs w:val="24"/>
          <w:lang w:val="en-US" w:eastAsia="en-US"/>
        </w:rPr>
        <w:t>.05 or Pearson Chi-Square test, as appropriate</w:t>
      </w:r>
      <w:r w:rsidR="00A33221" w:rsidRPr="008F3C37">
        <w:rPr>
          <w:rFonts w:ascii="Arial" w:eastAsiaTheme="minorEastAsia" w:hAnsi="Arial" w:cs="Arial"/>
          <w:szCs w:val="24"/>
          <w:lang w:val="en-US" w:eastAsia="en-US"/>
        </w:rPr>
        <w:t xml:space="preserve">; </w:t>
      </w:r>
      <w:r w:rsidR="00A33221" w:rsidRPr="008F3C37">
        <w:rPr>
          <w:rFonts w:ascii="Arial" w:eastAsiaTheme="minorEastAsia" w:hAnsi="Arial" w:cs="Arial"/>
          <w:szCs w:val="24"/>
          <w:vertAlign w:val="superscript"/>
          <w:lang w:val="en-US" w:eastAsia="en-US"/>
        </w:rPr>
        <w:t>†</w:t>
      </w:r>
      <w:r w:rsidR="00A33221" w:rsidRPr="008F3C37">
        <w:rPr>
          <w:rFonts w:ascii="Arial" w:eastAsiaTheme="minorEastAsia" w:hAnsi="Arial" w:cs="Arial"/>
          <w:szCs w:val="24"/>
          <w:lang w:val="en-US" w:eastAsia="en-US"/>
        </w:rPr>
        <w:t>participants with insulin dependent diabetes were not included in the study</w:t>
      </w:r>
    </w:p>
    <w:p w14:paraId="6C1FDBF1" w14:textId="145D6129" w:rsidR="004B4793" w:rsidRDefault="004B4793" w:rsidP="00C72E1C">
      <w:pPr>
        <w:spacing w:line="240" w:lineRule="auto"/>
        <w:ind w:left="-567"/>
        <w:rPr>
          <w:rFonts w:ascii="Arial" w:hAnsi="Arial" w:cs="Arial"/>
          <w:b/>
          <w:lang w:val="en-US"/>
        </w:rPr>
      </w:pPr>
    </w:p>
    <w:p w14:paraId="392208A7" w14:textId="77777777" w:rsidR="00F22634" w:rsidRDefault="00F22634" w:rsidP="00C72E1C">
      <w:pPr>
        <w:spacing w:line="240" w:lineRule="auto"/>
        <w:ind w:left="-567"/>
      </w:pPr>
    </w:p>
    <w:p w14:paraId="2B3C5F78" w14:textId="77777777" w:rsidR="00702AFA" w:rsidRDefault="00702AFA" w:rsidP="00495992">
      <w:pPr>
        <w:pStyle w:val="Default"/>
        <w:spacing w:line="480" w:lineRule="auto"/>
        <w:jc w:val="both"/>
        <w:rPr>
          <w:rFonts w:ascii="Arial" w:hAnsi="Arial" w:cs="Arial"/>
          <w:b/>
          <w:bCs/>
          <w:sz w:val="22"/>
          <w:szCs w:val="22"/>
        </w:rPr>
      </w:pPr>
    </w:p>
    <w:p w14:paraId="2AE71F91" w14:textId="343446EF" w:rsidR="007F0663" w:rsidRDefault="007F0663" w:rsidP="00495992">
      <w:pPr>
        <w:pStyle w:val="Default"/>
        <w:spacing w:line="480" w:lineRule="auto"/>
        <w:jc w:val="both"/>
        <w:rPr>
          <w:rFonts w:ascii="Arial" w:hAnsi="Arial" w:cs="Arial"/>
          <w:b/>
          <w:bCs/>
          <w:sz w:val="22"/>
          <w:szCs w:val="22"/>
        </w:rPr>
      </w:pPr>
    </w:p>
    <w:p w14:paraId="09538807" w14:textId="77777777" w:rsidR="007F0663" w:rsidRDefault="007F0663" w:rsidP="00495992">
      <w:pPr>
        <w:pStyle w:val="Default"/>
        <w:spacing w:line="480" w:lineRule="auto"/>
        <w:jc w:val="both"/>
        <w:rPr>
          <w:rFonts w:ascii="Arial" w:hAnsi="Arial" w:cs="Arial"/>
          <w:b/>
          <w:bCs/>
          <w:sz w:val="22"/>
          <w:szCs w:val="22"/>
        </w:rPr>
      </w:pPr>
    </w:p>
    <w:p w14:paraId="781E343C" w14:textId="29CFAC46" w:rsidR="00C72E1C" w:rsidRDefault="00C72E1C" w:rsidP="00C72E1C">
      <w:pPr>
        <w:pStyle w:val="Default"/>
        <w:spacing w:line="480" w:lineRule="auto"/>
        <w:ind w:left="-1134"/>
        <w:jc w:val="both"/>
        <w:rPr>
          <w:rFonts w:ascii="Arial" w:hAnsi="Arial" w:cs="Arial"/>
          <w:b/>
          <w:bCs/>
          <w:sz w:val="22"/>
          <w:szCs w:val="22"/>
        </w:rPr>
      </w:pPr>
      <w:r w:rsidRPr="007F0663">
        <w:rPr>
          <w:rFonts w:ascii="Arial" w:hAnsi="Arial" w:cs="Arial"/>
          <w:b/>
          <w:bCs/>
          <w:noProof/>
          <w:sz w:val="22"/>
          <w:szCs w:val="22"/>
          <w:lang w:val="en-US"/>
        </w:rPr>
        <w:lastRenderedPageBreak/>
        <w:drawing>
          <wp:inline distT="0" distB="0" distL="0" distR="0" wp14:anchorId="1F10C4CF" wp14:editId="21C52901">
            <wp:extent cx="6711130" cy="464482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0945" cy="4651621"/>
                    </a:xfrm>
                    <a:prstGeom prst="rect">
                      <a:avLst/>
                    </a:prstGeom>
                    <a:noFill/>
                    <a:ln>
                      <a:noFill/>
                    </a:ln>
                  </pic:spPr>
                </pic:pic>
              </a:graphicData>
            </a:graphic>
          </wp:inline>
        </w:drawing>
      </w:r>
    </w:p>
    <w:p w14:paraId="39C6E047" w14:textId="20ED5EDF" w:rsidR="00C72E1C" w:rsidRDefault="00C72E1C" w:rsidP="00495992">
      <w:pPr>
        <w:pStyle w:val="Default"/>
        <w:spacing w:line="480" w:lineRule="auto"/>
        <w:jc w:val="both"/>
        <w:rPr>
          <w:rFonts w:ascii="Arial" w:hAnsi="Arial" w:cs="Arial"/>
          <w:b/>
          <w:bCs/>
          <w:sz w:val="22"/>
          <w:szCs w:val="22"/>
        </w:rPr>
      </w:pPr>
    </w:p>
    <w:p w14:paraId="1D96CEA6" w14:textId="77777777" w:rsidR="00C72E1C" w:rsidRDefault="00C72E1C" w:rsidP="00495992">
      <w:pPr>
        <w:pStyle w:val="Default"/>
        <w:spacing w:line="480" w:lineRule="auto"/>
        <w:jc w:val="both"/>
        <w:rPr>
          <w:rFonts w:ascii="Arial" w:hAnsi="Arial" w:cs="Arial"/>
          <w:b/>
          <w:bCs/>
          <w:sz w:val="22"/>
          <w:szCs w:val="22"/>
        </w:rPr>
      </w:pPr>
    </w:p>
    <w:p w14:paraId="3F20C1BE" w14:textId="7B3B293D" w:rsidR="00386374" w:rsidRPr="00423A9E" w:rsidRDefault="00F22634" w:rsidP="00495992">
      <w:pPr>
        <w:pStyle w:val="Default"/>
        <w:spacing w:line="480" w:lineRule="auto"/>
        <w:jc w:val="both"/>
        <w:rPr>
          <w:rFonts w:ascii="Arial" w:hAnsi="Arial" w:cs="Arial"/>
          <w:b/>
          <w:bCs/>
          <w:sz w:val="22"/>
          <w:szCs w:val="22"/>
        </w:rPr>
      </w:pPr>
      <w:proofErr w:type="gramStart"/>
      <w:r>
        <w:rPr>
          <w:rFonts w:ascii="Arial" w:hAnsi="Arial" w:cs="Arial"/>
          <w:b/>
          <w:bCs/>
          <w:sz w:val="22"/>
          <w:szCs w:val="22"/>
        </w:rPr>
        <w:t xml:space="preserve">Supplementary </w:t>
      </w:r>
      <w:r w:rsidR="00386374" w:rsidRPr="00423A9E">
        <w:rPr>
          <w:rFonts w:ascii="Arial" w:hAnsi="Arial" w:cs="Arial"/>
          <w:b/>
          <w:bCs/>
          <w:sz w:val="22"/>
          <w:szCs w:val="22"/>
        </w:rPr>
        <w:t xml:space="preserve">Figure </w:t>
      </w:r>
      <w:r w:rsidR="00702AFA">
        <w:rPr>
          <w:rFonts w:ascii="Arial" w:hAnsi="Arial" w:cs="Arial"/>
          <w:b/>
          <w:bCs/>
          <w:sz w:val="22"/>
          <w:szCs w:val="22"/>
        </w:rPr>
        <w:t>S</w:t>
      </w:r>
      <w:r w:rsidR="00386374" w:rsidRPr="00423A9E">
        <w:rPr>
          <w:rFonts w:ascii="Arial" w:hAnsi="Arial" w:cs="Arial"/>
          <w:b/>
          <w:bCs/>
          <w:sz w:val="22"/>
          <w:szCs w:val="22"/>
        </w:rPr>
        <w:t>1.</w:t>
      </w:r>
      <w:proofErr w:type="gramEnd"/>
      <w:r w:rsidR="00386374" w:rsidRPr="00423A9E">
        <w:rPr>
          <w:rFonts w:ascii="Arial" w:hAnsi="Arial" w:cs="Arial"/>
          <w:b/>
          <w:bCs/>
          <w:sz w:val="22"/>
          <w:szCs w:val="22"/>
        </w:rPr>
        <w:t xml:space="preserve"> </w:t>
      </w:r>
      <w:r w:rsidR="004C3F8B" w:rsidRPr="00423A9E">
        <w:rPr>
          <w:rFonts w:ascii="Arial" w:hAnsi="Arial" w:cs="Arial"/>
          <w:b/>
          <w:bCs/>
          <w:sz w:val="22"/>
          <w:szCs w:val="22"/>
        </w:rPr>
        <w:t>Gating strategy</w:t>
      </w:r>
      <w:r w:rsidR="00386374" w:rsidRPr="00423A9E">
        <w:rPr>
          <w:rFonts w:ascii="Arial" w:hAnsi="Arial" w:cs="Arial"/>
          <w:b/>
          <w:bCs/>
          <w:sz w:val="22"/>
          <w:szCs w:val="22"/>
        </w:rPr>
        <w:t xml:space="preserve"> </w:t>
      </w:r>
      <w:r w:rsidR="004C3F8B" w:rsidRPr="00423A9E">
        <w:rPr>
          <w:rFonts w:ascii="Arial" w:hAnsi="Arial" w:cs="Arial"/>
          <w:b/>
          <w:bCs/>
          <w:sz w:val="22"/>
          <w:szCs w:val="22"/>
        </w:rPr>
        <w:t>for the identification of alternative cell subsets</w:t>
      </w:r>
    </w:p>
    <w:p w14:paraId="523C20DF" w14:textId="30D6BA60" w:rsidR="00995554" w:rsidRPr="00423A9E" w:rsidRDefault="004C3F8B" w:rsidP="00495992">
      <w:pPr>
        <w:pStyle w:val="Default"/>
        <w:spacing w:line="480" w:lineRule="auto"/>
        <w:jc w:val="both"/>
        <w:rPr>
          <w:rFonts w:ascii="Arial" w:hAnsi="Arial" w:cs="Arial"/>
          <w:sz w:val="22"/>
          <w:szCs w:val="22"/>
          <w:lang w:val="en-US"/>
        </w:rPr>
      </w:pPr>
      <w:r w:rsidRPr="00423A9E">
        <w:rPr>
          <w:rFonts w:ascii="Arial" w:hAnsi="Arial" w:cs="Arial"/>
          <w:sz w:val="22"/>
          <w:szCs w:val="22"/>
          <w:lang w:val="en-US"/>
        </w:rPr>
        <w:t>The strategy for identifying the different cell subsets determined by the expression of CD25, CD39, and CD134 was based on Boolean combinations of primary positive gates for each of these markers on CD4 T cells (CD3</w:t>
      </w:r>
      <w:r w:rsidRPr="00423A9E">
        <w:rPr>
          <w:rFonts w:ascii="Arial" w:hAnsi="Arial" w:cs="Arial"/>
          <w:sz w:val="22"/>
          <w:szCs w:val="22"/>
          <w:vertAlign w:val="superscript"/>
          <w:lang w:val="en-US"/>
        </w:rPr>
        <w:t>+</w:t>
      </w:r>
      <w:r w:rsidRPr="00423A9E">
        <w:rPr>
          <w:rFonts w:ascii="Arial" w:hAnsi="Arial" w:cs="Arial"/>
          <w:sz w:val="22"/>
          <w:szCs w:val="22"/>
          <w:lang w:val="en-US"/>
        </w:rPr>
        <w:t>CD4</w:t>
      </w:r>
      <w:r w:rsidRPr="00423A9E">
        <w:rPr>
          <w:rFonts w:ascii="Arial" w:hAnsi="Arial" w:cs="Arial"/>
          <w:sz w:val="22"/>
          <w:szCs w:val="22"/>
          <w:vertAlign w:val="superscript"/>
          <w:lang w:val="en-US"/>
        </w:rPr>
        <w:t>+</w:t>
      </w:r>
      <w:r w:rsidRPr="00423A9E">
        <w:rPr>
          <w:rFonts w:ascii="Arial" w:hAnsi="Arial" w:cs="Arial"/>
          <w:sz w:val="22"/>
          <w:szCs w:val="22"/>
          <w:lang w:val="en-US"/>
        </w:rPr>
        <w:t xml:space="preserve">).  A representative staining is shown here of unstimulated (top panel) vs CMV-stimulated (bottom panel) </w:t>
      </w:r>
      <w:r w:rsidR="00377EF1" w:rsidRPr="00423A9E">
        <w:rPr>
          <w:rFonts w:ascii="Arial" w:hAnsi="Arial" w:cs="Arial"/>
          <w:sz w:val="22"/>
          <w:szCs w:val="22"/>
          <w:lang w:val="en-US"/>
        </w:rPr>
        <w:t>whole blood cells.</w:t>
      </w:r>
    </w:p>
    <w:p w14:paraId="426A2DEF" w14:textId="77777777" w:rsidR="00702AFA" w:rsidRDefault="00702AFA" w:rsidP="00495992">
      <w:pPr>
        <w:tabs>
          <w:tab w:val="left" w:pos="1485"/>
        </w:tabs>
        <w:spacing w:line="480" w:lineRule="auto"/>
        <w:jc w:val="right"/>
        <w:rPr>
          <w:rFonts w:ascii="Arial" w:hAnsi="Arial" w:cs="Arial"/>
          <w:b/>
          <w:sz w:val="32"/>
          <w:lang w:val="en-US"/>
        </w:rPr>
      </w:pPr>
    </w:p>
    <w:p w14:paraId="7E710409" w14:textId="6F78C38A" w:rsidR="00702AFA" w:rsidRDefault="00702AFA" w:rsidP="00495992">
      <w:pPr>
        <w:tabs>
          <w:tab w:val="left" w:pos="1485"/>
        </w:tabs>
        <w:spacing w:line="480" w:lineRule="auto"/>
        <w:jc w:val="right"/>
        <w:rPr>
          <w:rFonts w:ascii="Arial" w:hAnsi="Arial" w:cs="Arial"/>
          <w:b/>
          <w:sz w:val="32"/>
          <w:lang w:val="en-US"/>
        </w:rPr>
      </w:pPr>
    </w:p>
    <w:sectPr w:rsidR="00702AFA" w:rsidSect="00752B15">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1CA40" w14:textId="77777777" w:rsidR="002E0F14" w:rsidRDefault="002E0F14" w:rsidP="004F20B6">
      <w:pPr>
        <w:spacing w:after="0" w:line="240" w:lineRule="auto"/>
      </w:pPr>
      <w:r>
        <w:separator/>
      </w:r>
    </w:p>
  </w:endnote>
  <w:endnote w:type="continuationSeparator" w:id="0">
    <w:p w14:paraId="7B70E37E" w14:textId="77777777" w:rsidR="002E0F14" w:rsidRDefault="002E0F14" w:rsidP="004F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B9A02" w14:textId="77777777" w:rsidR="002E0F14" w:rsidRDefault="002E0F14" w:rsidP="006B5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0DD6F" w14:textId="77777777" w:rsidR="002E0F14" w:rsidRDefault="002E0F14" w:rsidP="004F20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A70A0" w14:textId="77777777" w:rsidR="002E0F14" w:rsidRDefault="002E0F14" w:rsidP="006B5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7E5">
      <w:rPr>
        <w:rStyle w:val="PageNumber"/>
        <w:noProof/>
      </w:rPr>
      <w:t>1</w:t>
    </w:r>
    <w:r>
      <w:rPr>
        <w:rStyle w:val="PageNumber"/>
      </w:rPr>
      <w:fldChar w:fldCharType="end"/>
    </w:r>
  </w:p>
  <w:p w14:paraId="12CA1BD5" w14:textId="77777777" w:rsidR="002E0F14" w:rsidRDefault="002E0F14" w:rsidP="004F20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4D6B" w14:textId="77777777" w:rsidR="002E0F14" w:rsidRDefault="002E0F14" w:rsidP="004F20B6">
      <w:pPr>
        <w:spacing w:after="0" w:line="240" w:lineRule="auto"/>
      </w:pPr>
      <w:r>
        <w:separator/>
      </w:r>
    </w:p>
  </w:footnote>
  <w:footnote w:type="continuationSeparator" w:id="0">
    <w:p w14:paraId="5E0D1CEB" w14:textId="77777777" w:rsidR="002E0F14" w:rsidRDefault="002E0F14" w:rsidP="004F2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loo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4768B"/>
    <w:rsid w:val="000102A8"/>
    <w:rsid w:val="00015261"/>
    <w:rsid w:val="0006741E"/>
    <w:rsid w:val="000F2551"/>
    <w:rsid w:val="00100D4C"/>
    <w:rsid w:val="00175160"/>
    <w:rsid w:val="00187F6A"/>
    <w:rsid w:val="001D505B"/>
    <w:rsid w:val="001F24D5"/>
    <w:rsid w:val="002050C7"/>
    <w:rsid w:val="00206ABB"/>
    <w:rsid w:val="00293317"/>
    <w:rsid w:val="002B1308"/>
    <w:rsid w:val="002C578F"/>
    <w:rsid w:val="002D0ED8"/>
    <w:rsid w:val="002D43C0"/>
    <w:rsid w:val="002E0F14"/>
    <w:rsid w:val="002E715A"/>
    <w:rsid w:val="0030677A"/>
    <w:rsid w:val="00377EF1"/>
    <w:rsid w:val="00386374"/>
    <w:rsid w:val="003E17B6"/>
    <w:rsid w:val="0041495F"/>
    <w:rsid w:val="00423A9E"/>
    <w:rsid w:val="004318C9"/>
    <w:rsid w:val="00495992"/>
    <w:rsid w:val="004A351C"/>
    <w:rsid w:val="004B4793"/>
    <w:rsid w:val="004C3F8B"/>
    <w:rsid w:val="004D067E"/>
    <w:rsid w:val="004F033B"/>
    <w:rsid w:val="004F20B6"/>
    <w:rsid w:val="004F7BC6"/>
    <w:rsid w:val="00511A76"/>
    <w:rsid w:val="005427F5"/>
    <w:rsid w:val="00583EF8"/>
    <w:rsid w:val="00591237"/>
    <w:rsid w:val="005D230F"/>
    <w:rsid w:val="005F61AC"/>
    <w:rsid w:val="00670EB9"/>
    <w:rsid w:val="00681F46"/>
    <w:rsid w:val="006B4AED"/>
    <w:rsid w:val="006B53B4"/>
    <w:rsid w:val="006D13F2"/>
    <w:rsid w:val="006E522E"/>
    <w:rsid w:val="00702AFA"/>
    <w:rsid w:val="00712971"/>
    <w:rsid w:val="00722B24"/>
    <w:rsid w:val="007308DF"/>
    <w:rsid w:val="00747D74"/>
    <w:rsid w:val="00752B15"/>
    <w:rsid w:val="0075787C"/>
    <w:rsid w:val="00763E0E"/>
    <w:rsid w:val="00774AB7"/>
    <w:rsid w:val="007B5B40"/>
    <w:rsid w:val="007C5C76"/>
    <w:rsid w:val="007E47FC"/>
    <w:rsid w:val="007F0663"/>
    <w:rsid w:val="008259C9"/>
    <w:rsid w:val="008347EF"/>
    <w:rsid w:val="0084461C"/>
    <w:rsid w:val="008C5282"/>
    <w:rsid w:val="008D40D3"/>
    <w:rsid w:val="008E4AF9"/>
    <w:rsid w:val="008F3C37"/>
    <w:rsid w:val="00904230"/>
    <w:rsid w:val="00910D9A"/>
    <w:rsid w:val="0093431C"/>
    <w:rsid w:val="009431AF"/>
    <w:rsid w:val="00944095"/>
    <w:rsid w:val="00945627"/>
    <w:rsid w:val="009778B6"/>
    <w:rsid w:val="00983A8F"/>
    <w:rsid w:val="009873FC"/>
    <w:rsid w:val="00995554"/>
    <w:rsid w:val="00A33221"/>
    <w:rsid w:val="00A335AE"/>
    <w:rsid w:val="00A4768B"/>
    <w:rsid w:val="00A50085"/>
    <w:rsid w:val="00A57755"/>
    <w:rsid w:val="00A57957"/>
    <w:rsid w:val="00A61935"/>
    <w:rsid w:val="00A747E5"/>
    <w:rsid w:val="00A901B8"/>
    <w:rsid w:val="00AA2487"/>
    <w:rsid w:val="00AB0831"/>
    <w:rsid w:val="00B10A30"/>
    <w:rsid w:val="00B2042D"/>
    <w:rsid w:val="00B55A98"/>
    <w:rsid w:val="00B651A7"/>
    <w:rsid w:val="00B93B35"/>
    <w:rsid w:val="00BB16D1"/>
    <w:rsid w:val="00BE6A30"/>
    <w:rsid w:val="00C364A2"/>
    <w:rsid w:val="00C72E1C"/>
    <w:rsid w:val="00C94043"/>
    <w:rsid w:val="00CC5337"/>
    <w:rsid w:val="00CE32BF"/>
    <w:rsid w:val="00CE3F18"/>
    <w:rsid w:val="00DA68D3"/>
    <w:rsid w:val="00DA71B2"/>
    <w:rsid w:val="00DB18C5"/>
    <w:rsid w:val="00DE1A0F"/>
    <w:rsid w:val="00E3452A"/>
    <w:rsid w:val="00E43D06"/>
    <w:rsid w:val="00E62366"/>
    <w:rsid w:val="00EC68CC"/>
    <w:rsid w:val="00EE5EBF"/>
    <w:rsid w:val="00F22634"/>
    <w:rsid w:val="00F270BA"/>
    <w:rsid w:val="00F458B9"/>
    <w:rsid w:val="00F77741"/>
    <w:rsid w:val="00FB3CCA"/>
    <w:rsid w:val="00FD4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2C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8B"/>
    <w:pPr>
      <w:spacing w:after="200" w:line="276" w:lineRule="auto"/>
    </w:pPr>
    <w:rPr>
      <w:rFonts w:ascii="Calibri" w:eastAsia="Times New Roman" w:hAnsi="Calibri"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768B"/>
    <w:pPr>
      <w:ind w:left="720"/>
    </w:pPr>
    <w:rPr>
      <w:rFonts w:eastAsia="Calibri"/>
      <w:lang w:eastAsia="en-US"/>
    </w:rPr>
  </w:style>
  <w:style w:type="paragraph" w:styleId="NormalWeb">
    <w:name w:val="Normal (Web)"/>
    <w:basedOn w:val="Normal"/>
    <w:uiPriority w:val="99"/>
    <w:rsid w:val="00A4768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A4768B"/>
    <w:rPr>
      <w:b/>
      <w:bCs/>
    </w:rPr>
  </w:style>
  <w:style w:type="character" w:styleId="Hyperlink">
    <w:name w:val="Hyperlink"/>
    <w:basedOn w:val="DefaultParagraphFont"/>
    <w:uiPriority w:val="99"/>
    <w:unhideWhenUsed/>
    <w:rsid w:val="00F458B9"/>
    <w:rPr>
      <w:color w:val="0000FF" w:themeColor="hyperlink"/>
      <w:u w:val="single"/>
    </w:rPr>
  </w:style>
  <w:style w:type="character" w:styleId="CommentReference">
    <w:name w:val="annotation reference"/>
    <w:basedOn w:val="DefaultParagraphFont"/>
    <w:uiPriority w:val="99"/>
    <w:semiHidden/>
    <w:unhideWhenUsed/>
    <w:rsid w:val="005D230F"/>
    <w:rPr>
      <w:sz w:val="18"/>
      <w:szCs w:val="18"/>
    </w:rPr>
  </w:style>
  <w:style w:type="paragraph" w:styleId="CommentText">
    <w:name w:val="annotation text"/>
    <w:basedOn w:val="Normal"/>
    <w:link w:val="CommentTextChar"/>
    <w:uiPriority w:val="99"/>
    <w:semiHidden/>
    <w:unhideWhenUsed/>
    <w:rsid w:val="005D230F"/>
    <w:pPr>
      <w:spacing w:line="240" w:lineRule="auto"/>
    </w:pPr>
    <w:rPr>
      <w:sz w:val="24"/>
      <w:szCs w:val="24"/>
    </w:rPr>
  </w:style>
  <w:style w:type="character" w:customStyle="1" w:styleId="CommentTextChar">
    <w:name w:val="Comment Text Char"/>
    <w:basedOn w:val="DefaultParagraphFont"/>
    <w:link w:val="CommentText"/>
    <w:uiPriority w:val="99"/>
    <w:semiHidden/>
    <w:rsid w:val="005D230F"/>
    <w:rPr>
      <w:rFonts w:ascii="Calibri" w:eastAsia="Times New Roman" w:hAnsi="Calibri" w:cs="Times New Roman"/>
      <w:lang w:eastAsia="en-GB"/>
    </w:rPr>
  </w:style>
  <w:style w:type="paragraph" w:styleId="CommentSubject">
    <w:name w:val="annotation subject"/>
    <w:basedOn w:val="CommentText"/>
    <w:next w:val="CommentText"/>
    <w:link w:val="CommentSubjectChar"/>
    <w:uiPriority w:val="99"/>
    <w:semiHidden/>
    <w:unhideWhenUsed/>
    <w:rsid w:val="005D230F"/>
    <w:rPr>
      <w:b/>
      <w:bCs/>
      <w:sz w:val="20"/>
      <w:szCs w:val="20"/>
    </w:rPr>
  </w:style>
  <w:style w:type="character" w:customStyle="1" w:styleId="CommentSubjectChar">
    <w:name w:val="Comment Subject Char"/>
    <w:basedOn w:val="CommentTextChar"/>
    <w:link w:val="CommentSubject"/>
    <w:uiPriority w:val="99"/>
    <w:semiHidden/>
    <w:rsid w:val="005D230F"/>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5D23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30F"/>
    <w:rPr>
      <w:rFonts w:ascii="Lucida Grande" w:eastAsia="Times New Roman" w:hAnsi="Lucida Grande" w:cs="Lucida Grande"/>
      <w:sz w:val="18"/>
      <w:szCs w:val="18"/>
      <w:lang w:eastAsia="en-GB"/>
    </w:rPr>
  </w:style>
  <w:style w:type="paragraph" w:customStyle="1" w:styleId="Default">
    <w:name w:val="Default"/>
    <w:rsid w:val="00386374"/>
    <w:pPr>
      <w:autoSpaceDE w:val="0"/>
      <w:autoSpaceDN w:val="0"/>
      <w:adjustRightInd w:val="0"/>
    </w:pPr>
    <w:rPr>
      <w:rFonts w:ascii="Times New Roman" w:hAnsi="Times New Roman" w:cs="Times New Roman"/>
      <w:color w:val="000000"/>
    </w:rPr>
  </w:style>
  <w:style w:type="character" w:customStyle="1" w:styleId="text">
    <w:name w:val="text"/>
    <w:basedOn w:val="DefaultParagraphFont"/>
    <w:rsid w:val="001F24D5"/>
  </w:style>
  <w:style w:type="table" w:styleId="TableGrid">
    <w:name w:val="Table Grid"/>
    <w:basedOn w:val="TableNormal"/>
    <w:uiPriority w:val="59"/>
    <w:rsid w:val="00431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F20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20B6"/>
    <w:rPr>
      <w:rFonts w:ascii="Calibri" w:eastAsia="Times New Roman" w:hAnsi="Calibri" w:cs="Times New Roman"/>
      <w:sz w:val="22"/>
      <w:szCs w:val="22"/>
      <w:lang w:eastAsia="en-GB"/>
    </w:rPr>
  </w:style>
  <w:style w:type="character" w:styleId="PageNumber">
    <w:name w:val="page number"/>
    <w:basedOn w:val="DefaultParagraphFont"/>
    <w:uiPriority w:val="99"/>
    <w:semiHidden/>
    <w:unhideWhenUsed/>
    <w:rsid w:val="004F20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8B"/>
    <w:pPr>
      <w:spacing w:after="200" w:line="276" w:lineRule="auto"/>
    </w:pPr>
    <w:rPr>
      <w:rFonts w:ascii="Calibri" w:eastAsia="Times New Roman" w:hAnsi="Calibri"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768B"/>
    <w:pPr>
      <w:ind w:left="720"/>
    </w:pPr>
    <w:rPr>
      <w:rFonts w:eastAsia="Calibri"/>
      <w:lang w:eastAsia="en-US"/>
    </w:rPr>
  </w:style>
  <w:style w:type="paragraph" w:styleId="NormalWeb">
    <w:name w:val="Normal (Web)"/>
    <w:basedOn w:val="Normal"/>
    <w:uiPriority w:val="99"/>
    <w:rsid w:val="00A4768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A4768B"/>
    <w:rPr>
      <w:b/>
      <w:bCs/>
    </w:rPr>
  </w:style>
  <w:style w:type="character" w:styleId="Hyperlink">
    <w:name w:val="Hyperlink"/>
    <w:basedOn w:val="DefaultParagraphFont"/>
    <w:uiPriority w:val="99"/>
    <w:unhideWhenUsed/>
    <w:rsid w:val="00F458B9"/>
    <w:rPr>
      <w:color w:val="0000FF" w:themeColor="hyperlink"/>
      <w:u w:val="single"/>
    </w:rPr>
  </w:style>
  <w:style w:type="character" w:styleId="CommentReference">
    <w:name w:val="annotation reference"/>
    <w:basedOn w:val="DefaultParagraphFont"/>
    <w:uiPriority w:val="99"/>
    <w:semiHidden/>
    <w:unhideWhenUsed/>
    <w:rsid w:val="005D230F"/>
    <w:rPr>
      <w:sz w:val="18"/>
      <w:szCs w:val="18"/>
    </w:rPr>
  </w:style>
  <w:style w:type="paragraph" w:styleId="CommentText">
    <w:name w:val="annotation text"/>
    <w:basedOn w:val="Normal"/>
    <w:link w:val="CommentTextChar"/>
    <w:uiPriority w:val="99"/>
    <w:semiHidden/>
    <w:unhideWhenUsed/>
    <w:rsid w:val="005D230F"/>
    <w:pPr>
      <w:spacing w:line="240" w:lineRule="auto"/>
    </w:pPr>
    <w:rPr>
      <w:sz w:val="24"/>
      <w:szCs w:val="24"/>
    </w:rPr>
  </w:style>
  <w:style w:type="character" w:customStyle="1" w:styleId="CommentTextChar">
    <w:name w:val="Comment Text Char"/>
    <w:basedOn w:val="DefaultParagraphFont"/>
    <w:link w:val="CommentText"/>
    <w:uiPriority w:val="99"/>
    <w:semiHidden/>
    <w:rsid w:val="005D230F"/>
    <w:rPr>
      <w:rFonts w:ascii="Calibri" w:eastAsia="Times New Roman" w:hAnsi="Calibri" w:cs="Times New Roman"/>
      <w:lang w:eastAsia="en-GB"/>
    </w:rPr>
  </w:style>
  <w:style w:type="paragraph" w:styleId="CommentSubject">
    <w:name w:val="annotation subject"/>
    <w:basedOn w:val="CommentText"/>
    <w:next w:val="CommentText"/>
    <w:link w:val="CommentSubjectChar"/>
    <w:uiPriority w:val="99"/>
    <w:semiHidden/>
    <w:unhideWhenUsed/>
    <w:rsid w:val="005D230F"/>
    <w:rPr>
      <w:b/>
      <w:bCs/>
      <w:sz w:val="20"/>
      <w:szCs w:val="20"/>
    </w:rPr>
  </w:style>
  <w:style w:type="character" w:customStyle="1" w:styleId="CommentSubjectChar">
    <w:name w:val="Comment Subject Char"/>
    <w:basedOn w:val="CommentTextChar"/>
    <w:link w:val="CommentSubject"/>
    <w:uiPriority w:val="99"/>
    <w:semiHidden/>
    <w:rsid w:val="005D230F"/>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5D23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30F"/>
    <w:rPr>
      <w:rFonts w:ascii="Lucida Grande" w:eastAsia="Times New Roman" w:hAnsi="Lucida Grande" w:cs="Lucida Grande"/>
      <w:sz w:val="18"/>
      <w:szCs w:val="18"/>
      <w:lang w:eastAsia="en-GB"/>
    </w:rPr>
  </w:style>
  <w:style w:type="paragraph" w:customStyle="1" w:styleId="Default">
    <w:name w:val="Default"/>
    <w:rsid w:val="00386374"/>
    <w:pPr>
      <w:autoSpaceDE w:val="0"/>
      <w:autoSpaceDN w:val="0"/>
      <w:adjustRightInd w:val="0"/>
    </w:pPr>
    <w:rPr>
      <w:rFonts w:ascii="Times New Roman" w:hAnsi="Times New Roman" w:cs="Times New Roman"/>
      <w:color w:val="000000"/>
    </w:rPr>
  </w:style>
  <w:style w:type="character" w:customStyle="1" w:styleId="text">
    <w:name w:val="text"/>
    <w:basedOn w:val="DefaultParagraphFont"/>
    <w:rsid w:val="001F24D5"/>
  </w:style>
  <w:style w:type="table" w:styleId="TableGrid">
    <w:name w:val="Table Grid"/>
    <w:basedOn w:val="TableNormal"/>
    <w:uiPriority w:val="59"/>
    <w:rsid w:val="00431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F20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20B6"/>
    <w:rPr>
      <w:rFonts w:ascii="Calibri" w:eastAsia="Times New Roman" w:hAnsi="Calibri" w:cs="Times New Roman"/>
      <w:sz w:val="22"/>
      <w:szCs w:val="22"/>
      <w:lang w:eastAsia="en-GB"/>
    </w:rPr>
  </w:style>
  <w:style w:type="character" w:styleId="PageNumber">
    <w:name w:val="page number"/>
    <w:basedOn w:val="DefaultParagraphFont"/>
    <w:uiPriority w:val="99"/>
    <w:semiHidden/>
    <w:unhideWhenUsed/>
    <w:rsid w:val="004F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56759">
      <w:bodyDiv w:val="1"/>
      <w:marLeft w:val="0"/>
      <w:marRight w:val="0"/>
      <w:marTop w:val="0"/>
      <w:marBottom w:val="0"/>
      <w:divBdr>
        <w:top w:val="none" w:sz="0" w:space="0" w:color="auto"/>
        <w:left w:val="none" w:sz="0" w:space="0" w:color="auto"/>
        <w:bottom w:val="none" w:sz="0" w:space="0" w:color="auto"/>
        <w:right w:val="none" w:sz="0" w:space="0" w:color="auto"/>
      </w:divBdr>
    </w:div>
    <w:div w:id="1046568479">
      <w:bodyDiv w:val="1"/>
      <w:marLeft w:val="0"/>
      <w:marRight w:val="0"/>
      <w:marTop w:val="0"/>
      <w:marBottom w:val="0"/>
      <w:divBdr>
        <w:top w:val="none" w:sz="0" w:space="0" w:color="auto"/>
        <w:left w:val="none" w:sz="0" w:space="0" w:color="auto"/>
        <w:bottom w:val="none" w:sz="0" w:space="0" w:color="auto"/>
        <w:right w:val="none" w:sz="0" w:space="0" w:color="auto"/>
      </w:divBdr>
    </w:div>
    <w:div w:id="1327131225">
      <w:bodyDiv w:val="1"/>
      <w:marLeft w:val="0"/>
      <w:marRight w:val="0"/>
      <w:marTop w:val="0"/>
      <w:marBottom w:val="0"/>
      <w:divBdr>
        <w:top w:val="none" w:sz="0" w:space="0" w:color="auto"/>
        <w:left w:val="none" w:sz="0" w:space="0" w:color="auto"/>
        <w:bottom w:val="none" w:sz="0" w:space="0" w:color="auto"/>
        <w:right w:val="none" w:sz="0" w:space="0" w:color="auto"/>
      </w:divBdr>
    </w:div>
    <w:div w:id="1951739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18CC-281A-114F-9E83-84CDC006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1054</Words>
  <Characters>6013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BSMS</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Kern</dc:creator>
  <cp:lastModifiedBy>Florian Kern</cp:lastModifiedBy>
  <cp:revision>3</cp:revision>
  <cp:lastPrinted>2013-07-09T10:34:00Z</cp:lastPrinted>
  <dcterms:created xsi:type="dcterms:W3CDTF">2013-07-17T15:38:00Z</dcterms:created>
  <dcterms:modified xsi:type="dcterms:W3CDTF">2013-07-18T13:50:00Z</dcterms:modified>
</cp:coreProperties>
</file>